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A80" w:rsidRDefault="00685A80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85A80" w:rsidRDefault="00685A80" w:rsidP="00685A80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685A80" w:rsidRDefault="00685A80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685A80" w:rsidRDefault="00685A80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96E40" w:rsidRPr="00685A80" w:rsidRDefault="00685A80">
      <w:pPr>
        <w:rPr>
          <w:rFonts w:ascii="Times New Roman" w:hAnsi="Times New Roman" w:cs="Times New Roman"/>
          <w:sz w:val="24"/>
          <w:szCs w:val="24"/>
          <w:u w:val="single"/>
        </w:rPr>
      </w:pPr>
      <w:r w:rsidRPr="00685A80">
        <w:rPr>
          <w:rFonts w:ascii="Times New Roman" w:hAnsi="Times New Roman" w:cs="Times New Roman"/>
          <w:sz w:val="24"/>
          <w:szCs w:val="24"/>
          <w:u w:val="single"/>
        </w:rPr>
        <w:t>Dotaz: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ro účely zpracování diplomové práce na Právnické fakultě na téma Administrativní náročnost výběru daní v ČR potřebuji zaslat aktuální statistiky + srovnání s alespoň dvěma předchozími obdobími,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kolik lidí se podílí na výběru kterých daní v členění po jednotlivých daních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(clo a poplatky nepotřebuji),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ab/>
        <w:t>kolik mzdových nákladů připadá na tento počet lidí (kumulované hodnoty za rok+2 srovnatelná předchozí období),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ab/>
        <w:t>další náklady spojené s výběrem daní (materiál, technické vybavení, pronájem prostor/odpisy vlastních nemovitostí, další provozní náklady+2srovnatelná předchozí období),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>Pokud jsou tyto informace k dispozici na internetu, prosím o zaslání odkazu na umístění.</w:t>
      </w: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bookmarkStart w:id="0" w:name="_GoBack"/>
      <w:bookmarkEnd w:id="0"/>
      <w:r w:rsidRPr="00685A80">
        <w:rPr>
          <w:rFonts w:ascii="Times New Roman" w:hAnsi="Times New Roman" w:cs="Times New Roman"/>
          <w:color w:val="000000"/>
          <w:sz w:val="24"/>
          <w:szCs w:val="24"/>
          <w:u w:val="single"/>
        </w:rPr>
        <w:t>Odpověď:</w:t>
      </w: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a základě Vaší žádosti ze dne 11. února 2014 ve věci žádosti o poskytnutí podkladů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pro diplomovou práci Vám v příloze zasíláme vyplněné tabulky s informacemi z rozpočtu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a z účetnictví Generálního finančního ředitelství. V tabulkách jsou uvedeny propoč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ty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na jednoho zaměstnance. Pro další informace považujeme za nejvhodnější Vám nabí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dnout 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dokumenty vytvářené pro poskytování ekonomických informací o činnosti daňové správy. Doporučujeme využít odkazu na stránku http://www.financnisprava.cz.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>Na této stránce je možné vyhledat pomocí dotazu na klíčová slova „Zpráva o činnosti“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nebo „Výsledky činnosti“ informace o činnosti územních finančních orgánů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od roku 1998 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do roku 2001, pro roky 2002 a vyšší pak „Informace o výsledcích činnosti české daňové správy“ a dále „Výroční zprávy České daňové správy“ od roku 2001. Následně pak informace o činnosti Finanční správy.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V materiálech jsou informace o celkovém počtu zaměstnanců, výši celkových investičních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a běžných výdajů Finanční správy (historicky pro ÚFO a Daňovou sprá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vu) 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a také další informace o činnosti. Ostatní údaje (např. výši nákladů na jednotlivé daně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>nebo náklady na pracovníky jednotlivých daňových odborů) v rámci našeho informačního systému nesledujeme.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lastRenderedPageBreak/>
        <w:t>V příloze Vám rovněž zasíláme přehled o průměrném přepočteném počtu pracovníků za rok 2011 – 2013 Finanční správy České republiky dle jednotlivých činností včetně průměrných měsíčních mzdových nákladů na jednoho zaměstnance.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Na internetových stránkách Ministerstva financí lze nalézt informace za oblast rozpočtu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na internetové adrese http://monitor.statnipokladna.cz/2013/statni-rozpočet a účetní informace na adrese http://monitor.mfcr.cz/2013/. Změnu roku lze provést v menu v horní části pomocí rozbalovacího seznamu. Generální finanční ředitelství je možné vybrat v </w:t>
      </w:r>
      <w:proofErr w:type="spellStart"/>
      <w:r w:rsidRPr="00685A80">
        <w:rPr>
          <w:rFonts w:ascii="Times New Roman" w:hAnsi="Times New Roman" w:cs="Times New Roman"/>
          <w:color w:val="000000"/>
          <w:sz w:val="24"/>
          <w:szCs w:val="24"/>
        </w:rPr>
        <w:t>rozklikávací</w:t>
      </w:r>
      <w:proofErr w:type="spellEnd"/>
      <w:r w:rsidRPr="00685A80">
        <w:rPr>
          <w:rFonts w:ascii="Times New Roman" w:hAnsi="Times New Roman" w:cs="Times New Roman"/>
          <w:color w:val="000000"/>
          <w:sz w:val="24"/>
          <w:szCs w:val="24"/>
        </w:rPr>
        <w:t xml:space="preserve"> stromové struktuře v dolní části webové stránky pod kapitolou 312.</w:t>
      </w: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Pr="00685A80" w:rsidRDefault="00685A80" w:rsidP="00685A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5A80" w:rsidRDefault="00685A80" w:rsidP="00685A80">
      <w:pPr>
        <w:jc w:val="both"/>
      </w:pPr>
    </w:p>
    <w:sectPr w:rsidR="00685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A80"/>
    <w:rsid w:val="00234850"/>
    <w:rsid w:val="00685A80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387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2014-03-06T10:24:00Z</dcterms:created>
  <dcterms:modified xsi:type="dcterms:W3CDTF">2014-03-06T10:29:00Z</dcterms:modified>
</cp:coreProperties>
</file>