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0B2" w:rsidRPr="00E440B2" w:rsidRDefault="00E440B2" w:rsidP="00E440B2">
      <w:pPr>
        <w:spacing w:after="0"/>
        <w:jc w:val="both"/>
        <w:rPr>
          <w:rFonts w:ascii="Times New Roman" w:hAnsi="Times New Roman"/>
          <w:sz w:val="24"/>
          <w:szCs w:val="24"/>
          <w:u w:val="single"/>
        </w:rPr>
      </w:pPr>
      <w:r w:rsidRPr="00E440B2">
        <w:rPr>
          <w:rFonts w:ascii="Times New Roman" w:hAnsi="Times New Roman"/>
          <w:sz w:val="24"/>
          <w:szCs w:val="24"/>
          <w:u w:val="single"/>
        </w:rPr>
        <w:t>Poskytnutá informace GFŘ podle zákona o svobodném přístupu k informacím 2</w:t>
      </w:r>
      <w:r>
        <w:rPr>
          <w:rFonts w:ascii="Times New Roman" w:hAnsi="Times New Roman"/>
          <w:sz w:val="24"/>
          <w:szCs w:val="24"/>
          <w:u w:val="single"/>
        </w:rPr>
        <w:t>4</w:t>
      </w:r>
      <w:bookmarkStart w:id="0" w:name="_GoBack"/>
      <w:bookmarkEnd w:id="0"/>
      <w:r w:rsidRPr="00E440B2">
        <w:rPr>
          <w:rFonts w:ascii="Times New Roman" w:hAnsi="Times New Roman"/>
          <w:sz w:val="24"/>
          <w:szCs w:val="24"/>
          <w:u w:val="single"/>
        </w:rPr>
        <w:t>/2013</w:t>
      </w:r>
    </w:p>
    <w:p w:rsidR="00E440B2" w:rsidRPr="00E440B2" w:rsidRDefault="00E440B2" w:rsidP="00E440B2">
      <w:pPr>
        <w:spacing w:after="0"/>
        <w:jc w:val="both"/>
        <w:rPr>
          <w:rFonts w:ascii="Times New Roman" w:hAnsi="Times New Roman"/>
          <w:sz w:val="24"/>
          <w:szCs w:val="24"/>
          <w:u w:val="single"/>
        </w:rPr>
      </w:pPr>
    </w:p>
    <w:p w:rsidR="00E440B2" w:rsidRPr="00E440B2" w:rsidRDefault="00E440B2" w:rsidP="00E440B2">
      <w:pPr>
        <w:spacing w:after="0"/>
        <w:jc w:val="both"/>
        <w:rPr>
          <w:rFonts w:ascii="Times New Roman" w:hAnsi="Times New Roman"/>
          <w:sz w:val="24"/>
          <w:szCs w:val="24"/>
          <w:u w:val="single"/>
        </w:rPr>
      </w:pPr>
    </w:p>
    <w:p w:rsidR="00E440B2" w:rsidRPr="00E440B2" w:rsidRDefault="00E440B2" w:rsidP="00E440B2">
      <w:pPr>
        <w:spacing w:after="0"/>
        <w:jc w:val="both"/>
        <w:rPr>
          <w:rFonts w:ascii="Times New Roman" w:hAnsi="Times New Roman"/>
          <w:sz w:val="24"/>
          <w:szCs w:val="24"/>
          <w:u w:val="single"/>
        </w:rPr>
      </w:pPr>
      <w:r w:rsidRPr="00E440B2">
        <w:rPr>
          <w:rFonts w:ascii="Times New Roman" w:hAnsi="Times New Roman"/>
          <w:sz w:val="24"/>
          <w:szCs w:val="24"/>
          <w:u w:val="single"/>
        </w:rPr>
        <w:t>Dotaz:</w:t>
      </w:r>
    </w:p>
    <w:p w:rsidR="00E440B2" w:rsidRDefault="00E440B2" w:rsidP="00E440B2">
      <w:pPr>
        <w:autoSpaceDE w:val="0"/>
        <w:autoSpaceDN w:val="0"/>
        <w:adjustRightInd w:val="0"/>
        <w:spacing w:after="0" w:line="240" w:lineRule="auto"/>
        <w:jc w:val="both"/>
        <w:rPr>
          <w:rFonts w:ascii="Times New Roman" w:eastAsiaTheme="minorHAnsi" w:hAnsi="Times New Roman"/>
          <w:color w:val="000000"/>
          <w:sz w:val="24"/>
          <w:szCs w:val="24"/>
          <w:lang w:val="en-US"/>
        </w:rPr>
      </w:pPr>
      <w:proofErr w:type="spellStart"/>
      <w:r w:rsidRPr="00E440B2">
        <w:rPr>
          <w:rFonts w:ascii="Times New Roman" w:eastAsiaTheme="minorHAnsi" w:hAnsi="Times New Roman"/>
          <w:color w:val="000000"/>
          <w:sz w:val="24"/>
          <w:szCs w:val="24"/>
          <w:lang w:val="en-US"/>
        </w:rPr>
        <w:t>Žádáme</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tímto</w:t>
      </w:r>
      <w:proofErr w:type="spellEnd"/>
      <w:r w:rsidRPr="00E440B2">
        <w:rPr>
          <w:rFonts w:ascii="Times New Roman" w:eastAsiaTheme="minorHAnsi" w:hAnsi="Times New Roman"/>
          <w:color w:val="000000"/>
          <w:sz w:val="24"/>
          <w:szCs w:val="24"/>
          <w:lang w:val="en-US"/>
        </w:rPr>
        <w:t xml:space="preserve"> o </w:t>
      </w:r>
      <w:proofErr w:type="spellStart"/>
      <w:r w:rsidRPr="00E440B2">
        <w:rPr>
          <w:rFonts w:ascii="Times New Roman" w:eastAsiaTheme="minorHAnsi" w:hAnsi="Times New Roman"/>
          <w:color w:val="000000"/>
          <w:sz w:val="24"/>
          <w:szCs w:val="24"/>
          <w:lang w:val="en-US"/>
        </w:rPr>
        <w:t>poskytnutí</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seznamu</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nespolehlivých</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plátců</w:t>
      </w:r>
      <w:proofErr w:type="spellEnd"/>
      <w:r w:rsidRPr="00E440B2">
        <w:rPr>
          <w:rFonts w:ascii="Times New Roman" w:eastAsiaTheme="minorHAnsi" w:hAnsi="Times New Roman"/>
          <w:color w:val="000000"/>
          <w:sz w:val="24"/>
          <w:szCs w:val="24"/>
          <w:lang w:val="en-US"/>
        </w:rPr>
        <w:t xml:space="preserve"> </w:t>
      </w:r>
      <w:proofErr w:type="spellStart"/>
      <w:proofErr w:type="gramStart"/>
      <w:r w:rsidRPr="00E440B2">
        <w:rPr>
          <w:rFonts w:ascii="Times New Roman" w:eastAsiaTheme="minorHAnsi" w:hAnsi="Times New Roman"/>
          <w:color w:val="000000"/>
          <w:sz w:val="24"/>
          <w:szCs w:val="24"/>
          <w:lang w:val="en-US"/>
        </w:rPr>
        <w:t>daně</w:t>
      </w:r>
      <w:proofErr w:type="spellEnd"/>
      <w:proofErr w:type="gram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dle</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ustanovení</w:t>
      </w:r>
      <w:proofErr w:type="spellEnd"/>
      <w:r w:rsidRPr="00E440B2">
        <w:rPr>
          <w:rFonts w:ascii="Times New Roman" w:eastAsiaTheme="minorHAnsi" w:hAnsi="Times New Roman"/>
          <w:color w:val="000000"/>
          <w:sz w:val="24"/>
          <w:szCs w:val="24"/>
          <w:lang w:val="en-US"/>
        </w:rPr>
        <w:t xml:space="preserve"> § 106a </w:t>
      </w:r>
      <w:proofErr w:type="spellStart"/>
      <w:r w:rsidRPr="00E440B2">
        <w:rPr>
          <w:rFonts w:ascii="Times New Roman" w:eastAsiaTheme="minorHAnsi" w:hAnsi="Times New Roman"/>
          <w:color w:val="000000"/>
          <w:sz w:val="24"/>
          <w:szCs w:val="24"/>
          <w:lang w:val="en-US"/>
        </w:rPr>
        <w:t>zákona</w:t>
      </w:r>
      <w:proofErr w:type="spellEnd"/>
      <w:r w:rsidRPr="00E440B2">
        <w:rPr>
          <w:rFonts w:ascii="Times New Roman" w:eastAsiaTheme="minorHAnsi" w:hAnsi="Times New Roman"/>
          <w:color w:val="000000"/>
          <w:sz w:val="24"/>
          <w:szCs w:val="24"/>
          <w:lang w:val="en-US"/>
        </w:rPr>
        <w:t xml:space="preserve"> č. 235/2004 Sb., o </w:t>
      </w:r>
      <w:proofErr w:type="spellStart"/>
      <w:r w:rsidRPr="00E440B2">
        <w:rPr>
          <w:rFonts w:ascii="Times New Roman" w:eastAsiaTheme="minorHAnsi" w:hAnsi="Times New Roman"/>
          <w:color w:val="000000"/>
          <w:sz w:val="24"/>
          <w:szCs w:val="24"/>
          <w:lang w:val="en-US"/>
        </w:rPr>
        <w:t>svobodném</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přístupu</w:t>
      </w:r>
      <w:proofErr w:type="spellEnd"/>
      <w:r w:rsidRPr="00E440B2">
        <w:rPr>
          <w:rFonts w:ascii="Times New Roman" w:eastAsiaTheme="minorHAnsi" w:hAnsi="Times New Roman"/>
          <w:color w:val="000000"/>
          <w:sz w:val="24"/>
          <w:szCs w:val="24"/>
          <w:lang w:val="en-US"/>
        </w:rPr>
        <w:t xml:space="preserve"> k </w:t>
      </w:r>
      <w:proofErr w:type="spellStart"/>
      <w:r w:rsidRPr="00E440B2">
        <w:rPr>
          <w:rFonts w:ascii="Times New Roman" w:eastAsiaTheme="minorHAnsi" w:hAnsi="Times New Roman"/>
          <w:color w:val="000000"/>
          <w:sz w:val="24"/>
          <w:szCs w:val="24"/>
          <w:lang w:val="en-US"/>
        </w:rPr>
        <w:t>informacím</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ve</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znění</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pozdějších</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předpisů</w:t>
      </w:r>
      <w:proofErr w:type="spellEnd"/>
      <w:r w:rsidRPr="00E440B2">
        <w:rPr>
          <w:rFonts w:ascii="Times New Roman" w:eastAsiaTheme="minorHAnsi" w:hAnsi="Times New Roman"/>
          <w:color w:val="000000"/>
          <w:sz w:val="24"/>
          <w:szCs w:val="24"/>
          <w:lang w:val="en-US"/>
        </w:rPr>
        <w:t xml:space="preserve">, </w:t>
      </w:r>
      <w:r>
        <w:rPr>
          <w:rFonts w:ascii="Times New Roman" w:eastAsiaTheme="minorHAnsi" w:hAnsi="Times New Roman"/>
          <w:color w:val="000000"/>
          <w:sz w:val="24"/>
          <w:szCs w:val="24"/>
          <w:lang w:val="en-US"/>
        </w:rPr>
        <w:br/>
      </w:r>
      <w:r w:rsidRPr="00E440B2">
        <w:rPr>
          <w:rFonts w:ascii="Times New Roman" w:eastAsiaTheme="minorHAnsi" w:hAnsi="Times New Roman"/>
          <w:color w:val="000000"/>
          <w:sz w:val="24"/>
          <w:szCs w:val="24"/>
          <w:lang w:val="en-US"/>
        </w:rPr>
        <w:t xml:space="preserve">s </w:t>
      </w:r>
      <w:proofErr w:type="spellStart"/>
      <w:r w:rsidRPr="00E440B2">
        <w:rPr>
          <w:rFonts w:ascii="Times New Roman" w:eastAsiaTheme="minorHAnsi" w:hAnsi="Times New Roman"/>
          <w:color w:val="000000"/>
          <w:sz w:val="24"/>
          <w:szCs w:val="24"/>
          <w:lang w:val="en-US"/>
        </w:rPr>
        <w:t>uvedením</w:t>
      </w:r>
      <w:proofErr w:type="spellEnd"/>
      <w:r w:rsidRPr="00E440B2">
        <w:rPr>
          <w:rFonts w:ascii="Times New Roman" w:eastAsiaTheme="minorHAnsi" w:hAnsi="Times New Roman"/>
          <w:color w:val="000000"/>
          <w:sz w:val="24"/>
          <w:szCs w:val="24"/>
          <w:lang w:val="en-US"/>
        </w:rPr>
        <w:t xml:space="preserve"> data </w:t>
      </w:r>
      <w:proofErr w:type="spellStart"/>
      <w:r w:rsidRPr="00E440B2">
        <w:rPr>
          <w:rFonts w:ascii="Times New Roman" w:eastAsiaTheme="minorHAnsi" w:hAnsi="Times New Roman"/>
          <w:color w:val="000000"/>
          <w:sz w:val="24"/>
          <w:szCs w:val="24"/>
          <w:lang w:val="en-US"/>
        </w:rPr>
        <w:t>vydání</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rozhodnutí</w:t>
      </w:r>
      <w:proofErr w:type="spellEnd"/>
      <w:r w:rsidRPr="00E440B2">
        <w:rPr>
          <w:rFonts w:ascii="Times New Roman" w:eastAsiaTheme="minorHAnsi" w:hAnsi="Times New Roman"/>
          <w:color w:val="000000"/>
          <w:sz w:val="24"/>
          <w:szCs w:val="24"/>
          <w:lang w:val="en-US"/>
        </w:rPr>
        <w:t xml:space="preserve"> o tom, </w:t>
      </w:r>
      <w:proofErr w:type="spellStart"/>
      <w:r w:rsidRPr="00E440B2">
        <w:rPr>
          <w:rFonts w:ascii="Times New Roman" w:eastAsiaTheme="minorHAnsi" w:hAnsi="Times New Roman"/>
          <w:color w:val="000000"/>
          <w:sz w:val="24"/>
          <w:szCs w:val="24"/>
          <w:lang w:val="en-US"/>
        </w:rPr>
        <w:t>že</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plátce</w:t>
      </w:r>
      <w:proofErr w:type="spellEnd"/>
      <w:r w:rsidRPr="00E440B2">
        <w:rPr>
          <w:rFonts w:ascii="Times New Roman" w:eastAsiaTheme="minorHAnsi" w:hAnsi="Times New Roman"/>
          <w:color w:val="000000"/>
          <w:sz w:val="24"/>
          <w:szCs w:val="24"/>
          <w:lang w:val="en-US"/>
        </w:rPr>
        <w:t xml:space="preserve"> je </w:t>
      </w:r>
      <w:proofErr w:type="spellStart"/>
      <w:r w:rsidRPr="00E440B2">
        <w:rPr>
          <w:rFonts w:ascii="Times New Roman" w:eastAsiaTheme="minorHAnsi" w:hAnsi="Times New Roman"/>
          <w:color w:val="000000"/>
          <w:sz w:val="24"/>
          <w:szCs w:val="24"/>
          <w:lang w:val="en-US"/>
        </w:rPr>
        <w:t>nespolehlivým</w:t>
      </w:r>
      <w:proofErr w:type="spellEnd"/>
      <w:r w:rsidRPr="00E440B2">
        <w:rPr>
          <w:rFonts w:ascii="Times New Roman" w:eastAsiaTheme="minorHAnsi" w:hAnsi="Times New Roman"/>
          <w:color w:val="000000"/>
          <w:sz w:val="24"/>
          <w:szCs w:val="24"/>
          <w:lang w:val="en-US"/>
        </w:rPr>
        <w:t xml:space="preserve"> </w:t>
      </w:r>
      <w:proofErr w:type="spellStart"/>
      <w:r w:rsidRPr="00E440B2">
        <w:rPr>
          <w:rFonts w:ascii="Times New Roman" w:eastAsiaTheme="minorHAnsi" w:hAnsi="Times New Roman"/>
          <w:color w:val="000000"/>
          <w:sz w:val="24"/>
          <w:szCs w:val="24"/>
          <w:lang w:val="en-US"/>
        </w:rPr>
        <w:t>plátcem</w:t>
      </w:r>
      <w:proofErr w:type="spellEnd"/>
      <w:r w:rsidRPr="00E440B2">
        <w:rPr>
          <w:rFonts w:ascii="Times New Roman" w:eastAsiaTheme="minorHAnsi" w:hAnsi="Times New Roman"/>
          <w:color w:val="000000"/>
          <w:sz w:val="24"/>
          <w:szCs w:val="24"/>
          <w:lang w:val="en-US"/>
        </w:rPr>
        <w:t>.</w:t>
      </w:r>
    </w:p>
    <w:p w:rsidR="00E440B2" w:rsidRDefault="00E440B2" w:rsidP="00E440B2">
      <w:pPr>
        <w:autoSpaceDE w:val="0"/>
        <w:autoSpaceDN w:val="0"/>
        <w:adjustRightInd w:val="0"/>
        <w:spacing w:after="0" w:line="240" w:lineRule="auto"/>
        <w:jc w:val="both"/>
        <w:rPr>
          <w:rFonts w:ascii="Times New Roman" w:eastAsiaTheme="minorHAnsi" w:hAnsi="Times New Roman"/>
          <w:color w:val="000000"/>
          <w:sz w:val="24"/>
          <w:szCs w:val="24"/>
          <w:lang w:val="en-US"/>
        </w:rPr>
      </w:pPr>
    </w:p>
    <w:p w:rsidR="00E440B2" w:rsidRDefault="00E440B2" w:rsidP="00E440B2">
      <w:pPr>
        <w:autoSpaceDE w:val="0"/>
        <w:autoSpaceDN w:val="0"/>
        <w:adjustRightInd w:val="0"/>
        <w:spacing w:after="0" w:line="240" w:lineRule="auto"/>
        <w:jc w:val="both"/>
        <w:rPr>
          <w:rFonts w:ascii="Times New Roman" w:eastAsiaTheme="minorHAnsi" w:hAnsi="Times New Roman"/>
          <w:color w:val="000000"/>
          <w:sz w:val="24"/>
          <w:szCs w:val="24"/>
          <w:lang w:val="en-US"/>
        </w:rPr>
      </w:pPr>
    </w:p>
    <w:p w:rsidR="00E440B2" w:rsidRDefault="00E440B2" w:rsidP="00E440B2">
      <w:pPr>
        <w:autoSpaceDE w:val="0"/>
        <w:autoSpaceDN w:val="0"/>
        <w:adjustRightInd w:val="0"/>
        <w:spacing w:after="0" w:line="240" w:lineRule="auto"/>
        <w:jc w:val="both"/>
        <w:rPr>
          <w:rFonts w:ascii="Times New Roman" w:eastAsiaTheme="minorHAnsi" w:hAnsi="Times New Roman"/>
          <w:color w:val="000000"/>
          <w:sz w:val="24"/>
          <w:szCs w:val="24"/>
          <w:u w:val="single"/>
          <w:lang w:val="en-US"/>
        </w:rPr>
      </w:pPr>
      <w:proofErr w:type="spellStart"/>
      <w:r w:rsidRPr="00E440B2">
        <w:rPr>
          <w:rFonts w:ascii="Times New Roman" w:eastAsiaTheme="minorHAnsi" w:hAnsi="Times New Roman"/>
          <w:color w:val="000000"/>
          <w:sz w:val="24"/>
          <w:szCs w:val="24"/>
          <w:u w:val="single"/>
          <w:lang w:val="en-US"/>
        </w:rPr>
        <w:t>Odpověď</w:t>
      </w:r>
      <w:proofErr w:type="spellEnd"/>
      <w:r w:rsidRPr="00E440B2">
        <w:rPr>
          <w:rFonts w:ascii="Times New Roman" w:eastAsiaTheme="minorHAnsi" w:hAnsi="Times New Roman"/>
          <w:color w:val="000000"/>
          <w:sz w:val="24"/>
          <w:szCs w:val="24"/>
          <w:u w:val="single"/>
          <w:lang w:val="en-US"/>
        </w:rPr>
        <w:t>:</w:t>
      </w:r>
    </w:p>
    <w:p w:rsidR="00E440B2" w:rsidRDefault="00E440B2" w:rsidP="00E440B2">
      <w:pPr>
        <w:spacing w:after="0"/>
        <w:jc w:val="both"/>
        <w:rPr>
          <w:rFonts w:ascii="Times New Roman" w:hAnsi="Times New Roman"/>
          <w:i/>
          <w:sz w:val="24"/>
          <w:szCs w:val="24"/>
        </w:rPr>
      </w:pPr>
    </w:p>
    <w:p w:rsidR="00E440B2" w:rsidRPr="00E440B2" w:rsidRDefault="00E440B2" w:rsidP="00E440B2">
      <w:pPr>
        <w:spacing w:after="0"/>
        <w:jc w:val="both"/>
        <w:rPr>
          <w:rFonts w:ascii="Times New Roman" w:hAnsi="Times New Roman"/>
          <w:i/>
          <w:sz w:val="24"/>
          <w:szCs w:val="24"/>
        </w:rPr>
      </w:pPr>
      <w:r>
        <w:rPr>
          <w:rFonts w:ascii="Times New Roman" w:hAnsi="Times New Roman"/>
          <w:i/>
          <w:sz w:val="24"/>
          <w:szCs w:val="24"/>
        </w:rPr>
        <w:tab/>
      </w:r>
      <w:r w:rsidRPr="00E440B2">
        <w:rPr>
          <w:rFonts w:ascii="Times New Roman" w:hAnsi="Times New Roman"/>
          <w:i/>
          <w:sz w:val="24"/>
          <w:szCs w:val="24"/>
        </w:rPr>
        <w:t xml:space="preserve">Generální finanční ředitelství obdrželo Vaše podání ze dne 11. listopadu 2013, </w:t>
      </w:r>
      <w:r w:rsidRPr="00E440B2">
        <w:rPr>
          <w:rFonts w:ascii="Times New Roman" w:hAnsi="Times New Roman"/>
          <w:i/>
          <w:sz w:val="24"/>
          <w:szCs w:val="24"/>
        </w:rPr>
        <w:br/>
        <w:t>kterým ve smyslu zákona č. 106/1999 Sb., o svobodném přístupu k informacím, ve znění pozdějších předpisů (dále jen „zákon“), žádáte o zaslání seznamu nespolehlivých plátců daně z přidané hodnoty dle ustanovení § 106a zákona č. 235/2004 Sb., o dani z přidané hodnoty, v platném znění.</w:t>
      </w:r>
    </w:p>
    <w:p w:rsidR="00E440B2" w:rsidRPr="00E440B2" w:rsidRDefault="00E440B2" w:rsidP="00E440B2">
      <w:pPr>
        <w:spacing w:after="0"/>
        <w:jc w:val="both"/>
        <w:rPr>
          <w:rFonts w:ascii="Times New Roman" w:hAnsi="Times New Roman"/>
          <w:i/>
          <w:sz w:val="24"/>
          <w:szCs w:val="24"/>
        </w:rPr>
      </w:pPr>
    </w:p>
    <w:p w:rsidR="00E440B2" w:rsidRPr="00E440B2" w:rsidRDefault="00E440B2" w:rsidP="00E440B2">
      <w:pPr>
        <w:spacing w:after="0"/>
        <w:jc w:val="both"/>
        <w:rPr>
          <w:rFonts w:ascii="Times New Roman" w:hAnsi="Times New Roman"/>
          <w:i/>
          <w:sz w:val="24"/>
          <w:szCs w:val="24"/>
        </w:rPr>
      </w:pPr>
      <w:r w:rsidRPr="00E440B2">
        <w:rPr>
          <w:rFonts w:ascii="Times New Roman" w:hAnsi="Times New Roman"/>
          <w:i/>
          <w:sz w:val="24"/>
          <w:szCs w:val="24"/>
        </w:rPr>
        <w:tab/>
        <w:t xml:space="preserve">V souladu s ustanovením § 6 odst. 1 zákona Vás odkazujeme na zveřejněné </w:t>
      </w:r>
      <w:r w:rsidRPr="00E440B2">
        <w:rPr>
          <w:rFonts w:ascii="Times New Roman" w:hAnsi="Times New Roman"/>
          <w:i/>
          <w:sz w:val="24"/>
          <w:szCs w:val="24"/>
        </w:rPr>
        <w:br/>
        <w:t xml:space="preserve">informace, které jsou uvedeny v Registru plátců DPH na internetové adrese </w:t>
      </w:r>
      <w:hyperlink r:id="rId5" w:history="1">
        <w:r w:rsidRPr="00E440B2">
          <w:rPr>
            <w:rStyle w:val="Hypertextovodkaz"/>
            <w:rFonts w:ascii="Times New Roman" w:hAnsi="Times New Roman"/>
            <w:i/>
            <w:sz w:val="24"/>
            <w:szCs w:val="24"/>
          </w:rPr>
          <w:t>http://www.financnisprava.cz/cs/dane-a-pojistne/dane/dan-z-pridane-hodnoty</w:t>
        </w:r>
      </w:hyperlink>
      <w:r w:rsidRPr="00E440B2">
        <w:rPr>
          <w:rStyle w:val="Hypertextovodkaz"/>
          <w:rFonts w:ascii="Times New Roman" w:hAnsi="Times New Roman"/>
          <w:i/>
          <w:sz w:val="24"/>
          <w:szCs w:val="24"/>
        </w:rPr>
        <w:t>.</w:t>
      </w:r>
    </w:p>
    <w:p w:rsidR="00E440B2" w:rsidRPr="00E440B2" w:rsidRDefault="00E440B2" w:rsidP="00E440B2">
      <w:pPr>
        <w:spacing w:after="0"/>
        <w:jc w:val="both"/>
        <w:rPr>
          <w:rFonts w:ascii="Times New Roman" w:hAnsi="Times New Roman"/>
          <w:i/>
          <w:sz w:val="24"/>
          <w:szCs w:val="24"/>
        </w:rPr>
      </w:pPr>
    </w:p>
    <w:p w:rsidR="00E440B2" w:rsidRPr="00E440B2" w:rsidRDefault="00E440B2" w:rsidP="00E440B2">
      <w:pPr>
        <w:jc w:val="both"/>
        <w:rPr>
          <w:rFonts w:ascii="Times New Roman" w:hAnsi="Times New Roman"/>
          <w:i/>
          <w:sz w:val="24"/>
          <w:szCs w:val="24"/>
        </w:rPr>
      </w:pPr>
      <w:r w:rsidRPr="00E440B2">
        <w:rPr>
          <w:rFonts w:ascii="Times New Roman" w:hAnsi="Times New Roman"/>
          <w:i/>
          <w:sz w:val="24"/>
          <w:szCs w:val="24"/>
        </w:rPr>
        <w:tab/>
        <w:t>Seznam nespolehlivých plátců lze získat pomocí XML dotazu zaslaného na URL adresu služby vzdáleného přístupu do Registru plátců DPH. Tato funkčnost je podmíněna použitím SW třetích stran. Pomocí prohlížeče Internetu nelze seznam nespolehlivých plátců zobrazit.</w:t>
      </w:r>
    </w:p>
    <w:p w:rsidR="00E440B2" w:rsidRPr="00E440B2" w:rsidRDefault="00E440B2" w:rsidP="00E440B2">
      <w:pPr>
        <w:ind w:firstLine="708"/>
        <w:jc w:val="both"/>
        <w:rPr>
          <w:rFonts w:ascii="Times New Roman" w:hAnsi="Times New Roman"/>
          <w:i/>
          <w:sz w:val="24"/>
          <w:szCs w:val="24"/>
        </w:rPr>
      </w:pPr>
      <w:r w:rsidRPr="00E440B2">
        <w:rPr>
          <w:rFonts w:ascii="Times New Roman" w:hAnsi="Times New Roman"/>
          <w:i/>
          <w:sz w:val="24"/>
          <w:szCs w:val="24"/>
        </w:rPr>
        <w:t xml:space="preserve">Více informací je zveřejněno v sekci Dokumentace na stránkách Daňového portálu </w:t>
      </w:r>
      <w:hyperlink r:id="rId6" w:history="1">
        <w:r w:rsidRPr="00E440B2">
          <w:rPr>
            <w:rStyle w:val="Hypertextovodkaz"/>
            <w:rFonts w:ascii="Times New Roman" w:hAnsi="Times New Roman"/>
            <w:i/>
            <w:color w:val="auto"/>
            <w:sz w:val="24"/>
            <w:szCs w:val="24"/>
          </w:rPr>
          <w:t>www.daneelektronicky.cz</w:t>
        </w:r>
      </w:hyperlink>
      <w:r w:rsidRPr="00E440B2">
        <w:rPr>
          <w:rFonts w:ascii="Times New Roman" w:hAnsi="Times New Roman"/>
          <w:i/>
          <w:sz w:val="24"/>
          <w:szCs w:val="24"/>
        </w:rPr>
        <w:t xml:space="preserve">. Konkrétně se jedná o článek: Informace o webové službě pro zjišťování spolehlivosti plátců DPH a bankovních účtů plátců DPH – technické parametry. Webová adresa je  </w:t>
      </w:r>
      <w:hyperlink r:id="rId7" w:history="1">
        <w:r w:rsidRPr="00E440B2">
          <w:rPr>
            <w:rStyle w:val="Hypertextovodkaz"/>
            <w:rFonts w:ascii="Times New Roman" w:hAnsi="Times New Roman"/>
            <w:i/>
            <w:color w:val="auto"/>
            <w:sz w:val="24"/>
            <w:szCs w:val="24"/>
          </w:rPr>
          <w:t>https://adisdpr.mfcr.cz/adistc/adis/idpr_pub/dpr_info/ws_spdph.faces</w:t>
        </w:r>
      </w:hyperlink>
      <w:r w:rsidRPr="00E440B2">
        <w:rPr>
          <w:rStyle w:val="Hypertextovodkaz"/>
          <w:rFonts w:ascii="Times New Roman" w:hAnsi="Times New Roman"/>
          <w:i/>
          <w:color w:val="auto"/>
          <w:sz w:val="24"/>
          <w:szCs w:val="24"/>
        </w:rPr>
        <w:t>.</w:t>
      </w:r>
      <w:r w:rsidRPr="00E440B2">
        <w:rPr>
          <w:rFonts w:ascii="Times New Roman" w:hAnsi="Times New Roman"/>
          <w:i/>
          <w:sz w:val="24"/>
          <w:szCs w:val="24"/>
        </w:rPr>
        <w:t xml:space="preserve"> </w:t>
      </w:r>
    </w:p>
    <w:p w:rsidR="00E440B2" w:rsidRDefault="00E440B2" w:rsidP="00E440B2">
      <w:pPr>
        <w:jc w:val="both"/>
        <w:rPr>
          <w:rFonts w:ascii="Times New Roman" w:hAnsi="Times New Roman"/>
          <w:i/>
          <w:sz w:val="24"/>
          <w:szCs w:val="24"/>
        </w:rPr>
      </w:pPr>
    </w:p>
    <w:p w:rsidR="00E440B2" w:rsidRPr="00E440B2" w:rsidRDefault="00E440B2" w:rsidP="00E440B2">
      <w:pPr>
        <w:autoSpaceDE w:val="0"/>
        <w:autoSpaceDN w:val="0"/>
        <w:adjustRightInd w:val="0"/>
        <w:spacing w:after="0" w:line="240" w:lineRule="auto"/>
        <w:jc w:val="both"/>
        <w:rPr>
          <w:rFonts w:ascii="Times New Roman" w:eastAsiaTheme="minorHAnsi" w:hAnsi="Times New Roman"/>
          <w:color w:val="000000"/>
          <w:sz w:val="24"/>
          <w:szCs w:val="24"/>
          <w:u w:val="single"/>
          <w:lang w:val="en-US"/>
        </w:rPr>
      </w:pPr>
    </w:p>
    <w:p w:rsidR="00E96E40" w:rsidRPr="00E440B2" w:rsidRDefault="00E440B2">
      <w:pPr>
        <w:rPr>
          <w:sz w:val="24"/>
          <w:szCs w:val="24"/>
        </w:rPr>
      </w:pPr>
    </w:p>
    <w:sectPr w:rsidR="00E96E40" w:rsidRPr="00E440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0B2"/>
    <w:rsid w:val="00234850"/>
    <w:rsid w:val="00771B51"/>
    <w:rsid w:val="00E440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440B2"/>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440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440B2"/>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E440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sdpr.mfcr.cz/adistc/adis/idpr_pub/dpr_info/ws_spdph.fac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aneelektronicky.cz" TargetMode="External"/><Relationship Id="rId5" Type="http://schemas.openxmlformats.org/officeDocument/2006/relationships/hyperlink" Target="http://www.financnisprava.cz/cs/dane-a-pojistne/dane/dan-z-pridane-hodnot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256</Words>
  <Characters>1514</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GFŘ</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Krylová Věra (GFŘ)</dc:creator>
  <cp:lastModifiedBy>Krylová Věra (GFŘ)</cp:lastModifiedBy>
  <cp:revision>1</cp:revision>
  <dcterms:created xsi:type="dcterms:W3CDTF">2013-11-20T12:03:00Z</dcterms:created>
  <dcterms:modified xsi:type="dcterms:W3CDTF">2013-11-20T12:07:00Z</dcterms:modified>
</cp:coreProperties>
</file>