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44" w:rsidRPr="00A844FE" w:rsidRDefault="00443B44" w:rsidP="00443B4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4</w:t>
      </w:r>
      <w:r>
        <w:rPr>
          <w:rFonts w:ascii="Arial" w:hAnsi="Arial" w:cs="Arial"/>
          <w:b/>
          <w:u w:val="single"/>
        </w:rPr>
        <w:t>3</w:t>
      </w:r>
      <w:r w:rsidRPr="00A844FE">
        <w:rPr>
          <w:rFonts w:ascii="Arial" w:hAnsi="Arial" w:cs="Arial"/>
          <w:b/>
          <w:u w:val="single"/>
        </w:rPr>
        <w:t>/2018</w:t>
      </w:r>
    </w:p>
    <w:p w:rsidR="00443B44" w:rsidRDefault="00443B44" w:rsidP="00443B44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>
        <w:rPr>
          <w:rFonts w:ascii="Arial" w:hAnsi="Arial" w:cs="Arial"/>
          <w:b/>
          <w:u w:val="single"/>
        </w:rPr>
        <w:t>y a odpovědi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Žádám tímto o informaci, zda Generální finanční ředitelství v době výběru nabídky obchodní společnosti 2P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Commercial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Agency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s.r.o. jako nejvhodnější v rámci procesu zadání zakázky malého rozsahu disponovalo informacemi o možném zapojení dodávaného zboží do tzv. karuselových obchodů nebo zda takovéto informace obdrželo později. </w:t>
      </w:r>
    </w:p>
    <w:p w:rsidR="00443B44" w:rsidRPr="002D7FC0" w:rsidRDefault="00443B44" w:rsidP="00443B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D7FC0">
        <w:rPr>
          <w:rFonts w:ascii="Arial" w:hAnsi="Arial" w:cs="Arial"/>
        </w:rPr>
        <w:t>Finanční správa při výběru dodavatele obecně postupuje dle zákona č. 134/2016 Sb., o zadávání veřejných zakázek, v platném znění (dříve zákon č. 137/2006 Sb., o veřejných zakázkách), a před uzavřením smlouvy si dodavatele v  mezích zákonných možností prověří. Generální finanční ředitelství si vítězného dodavatele mobilních telefonů před uzavřením smlouvy prověřilo ve veřejných databázích, např. v obchodním a insolvenčním rejstříku, seznamu nespolehlivých plátců. Před uzavřením smlouvy pracovníci Generálního finančního ředitelství nezjistili, že by společnost vykazovala známky nestandardního chování.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Žádám o informaci o výši jednotlivých nabíd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kových cen ostatních uchazečů o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zmíněnou veřejnou zakázku (specifikovanou úvodem žádosti, resp. obsahem č. 1); nepožaduji identifikaci těchto zbývajících dodavatelů.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48"/>
        <w:gridCol w:w="1380"/>
      </w:tblGrid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C2B36">
              <w:rPr>
                <w:rFonts w:ascii="Arial" w:hAnsi="Arial" w:cs="Arial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Cena s DPH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7" w:history="1">
              <w:proofErr w:type="spellStart"/>
              <w:r w:rsidRPr="003C2B36">
                <w:rPr>
                  <w:rStyle w:val="Hypertextovodkaz"/>
                  <w:rFonts w:ascii="Arial" w:hAnsi="Arial" w:cs="Arial"/>
                </w:rPr>
                <w:t>ComArr</w:t>
              </w:r>
              <w:proofErr w:type="spellEnd"/>
              <w:r w:rsidRPr="003C2B36">
                <w:rPr>
                  <w:rStyle w:val="Hypertextovodkaz"/>
                  <w:rFonts w:ascii="Arial" w:hAnsi="Arial" w:cs="Arial"/>
                </w:rPr>
                <w:t>, spol. s r.o. 15050084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2 553 000,00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3 089 130,00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8" w:history="1">
              <w:r w:rsidRPr="003C2B36">
                <w:rPr>
                  <w:rStyle w:val="Hypertextovodkaz"/>
                  <w:rFonts w:ascii="Arial" w:hAnsi="Arial" w:cs="Arial"/>
                </w:rPr>
                <w:t>VV TOP s.r.o. 49977202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1 850 000,00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2 238 500,00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9" w:history="1">
              <w:r w:rsidRPr="003C2B36">
                <w:rPr>
                  <w:rStyle w:val="Hypertextovodkaz"/>
                  <w:rFonts w:ascii="Arial" w:hAnsi="Arial" w:cs="Arial"/>
                </w:rPr>
                <w:t>NWT a.s. 63469511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1 659 820,00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2 008 382,00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10" w:history="1">
              <w:r w:rsidRPr="003C2B36">
                <w:rPr>
                  <w:rStyle w:val="Hypertextovodkaz"/>
                  <w:rFonts w:ascii="Arial" w:hAnsi="Arial" w:cs="Arial"/>
                </w:rPr>
                <w:t>ITAGE, spol. s r.o. 25879243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1 609 500,00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1 947 495,00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11" w:history="1">
              <w:r w:rsidRPr="003C2B36">
                <w:rPr>
                  <w:rStyle w:val="Hypertextovodkaz"/>
                  <w:rFonts w:ascii="Arial" w:hAnsi="Arial" w:cs="Arial"/>
                </w:rPr>
                <w:t>SYNERGY SOLUTION s.r.o. 28622740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1 702 749,55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2 060 326,95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12" w:history="1">
              <w:proofErr w:type="spellStart"/>
              <w:r w:rsidRPr="003C2B36">
                <w:rPr>
                  <w:rStyle w:val="Hypertextovodkaz"/>
                  <w:rFonts w:ascii="Arial" w:hAnsi="Arial" w:cs="Arial"/>
                </w:rPr>
                <w:t>Kenast</w:t>
              </w:r>
              <w:proofErr w:type="spellEnd"/>
              <w:r w:rsidRPr="003C2B36">
                <w:rPr>
                  <w:rStyle w:val="Hypertextovodkaz"/>
                  <w:rFonts w:ascii="Arial" w:hAnsi="Arial" w:cs="Arial"/>
                </w:rPr>
                <w:t xml:space="preserve"> s.r.o. 27243397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1 696 450,00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2 052 704,50</w:t>
            </w:r>
          </w:p>
        </w:tc>
      </w:tr>
      <w:tr w:rsidR="00443B44" w:rsidRPr="003C2B36" w:rsidTr="00540B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hyperlink r:id="rId13" w:history="1">
              <w:r w:rsidRPr="003C2B36">
                <w:rPr>
                  <w:rStyle w:val="Hypertextovodkaz"/>
                  <w:rFonts w:ascii="Arial" w:hAnsi="Arial" w:cs="Arial"/>
                </w:rPr>
                <w:t xml:space="preserve">2P </w:t>
              </w:r>
              <w:proofErr w:type="spellStart"/>
              <w:r w:rsidRPr="003C2B36">
                <w:rPr>
                  <w:rStyle w:val="Hypertextovodkaz"/>
                  <w:rFonts w:ascii="Arial" w:hAnsi="Arial" w:cs="Arial"/>
                </w:rPr>
                <w:t>Commercial</w:t>
              </w:r>
              <w:proofErr w:type="spellEnd"/>
              <w:r w:rsidRPr="003C2B36">
                <w:rPr>
                  <w:rStyle w:val="Hypertextovodkaz"/>
                  <w:rFonts w:ascii="Arial" w:hAnsi="Arial" w:cs="Arial"/>
                </w:rPr>
                <w:t xml:space="preserve"> </w:t>
              </w:r>
              <w:proofErr w:type="spellStart"/>
              <w:r w:rsidRPr="003C2B36">
                <w:rPr>
                  <w:rStyle w:val="Hypertextovodkaz"/>
                  <w:rFonts w:ascii="Arial" w:hAnsi="Arial" w:cs="Arial"/>
                </w:rPr>
                <w:t>Agency</w:t>
              </w:r>
              <w:proofErr w:type="spellEnd"/>
              <w:r w:rsidRPr="003C2B36">
                <w:rPr>
                  <w:rStyle w:val="Hypertextovodkaz"/>
                  <w:rFonts w:ascii="Arial" w:hAnsi="Arial" w:cs="Arial"/>
                </w:rPr>
                <w:t xml:space="preserve"> s.r.o. 61458848</w:t>
              </w:r>
            </w:hyperlink>
            <w:r w:rsidRPr="003C2B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 w:rsidRPr="003C2B36">
              <w:rPr>
                <w:rFonts w:ascii="Arial" w:hAnsi="Arial" w:cs="Arial"/>
              </w:rPr>
              <w:t>1 597 660,00</w:t>
            </w:r>
          </w:p>
        </w:tc>
        <w:tc>
          <w:tcPr>
            <w:tcW w:w="0" w:type="auto"/>
            <w:vAlign w:val="center"/>
            <w:hideMark/>
          </w:tcPr>
          <w:p w:rsidR="00443B44" w:rsidRPr="003C2B36" w:rsidRDefault="00443B44" w:rsidP="00540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1 933</w:t>
            </w:r>
            <w:r w:rsidRPr="003C2B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168,6</w:t>
            </w:r>
            <w:r w:rsidRPr="003C2B36">
              <w:rPr>
                <w:rFonts w:ascii="Arial" w:hAnsi="Arial" w:cs="Arial"/>
              </w:rPr>
              <w:t>0</w:t>
            </w:r>
          </w:p>
        </w:tc>
      </w:tr>
    </w:tbl>
    <w:p w:rsidR="00443B44" w:rsidRPr="003C2B36" w:rsidRDefault="00443B44" w:rsidP="00443B44">
      <w:pPr>
        <w:pStyle w:val="Bezmezer"/>
        <w:spacing w:after="100" w:afterAutospacing="1" w:line="276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Žádám o informaci, zda Generální finanční ředitelství v rámci procesu zadání veřejné zakázky malého rozsahu (kdy na institut zadání veřejné zakázky malého rozsahu lze soudit jak z výše kupní ceny za dodané zboží specifikované shora citovanými veřejně dostupnými zdroji, tak i ze skutečnosti, že Generální finanční ředitelství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ve zmíněném stanovisku hovoří o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„výběrovém řízení“ nikoliv o řízení zadávacím) aplikoval postup analogický postupu podle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ust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. § 77 zák. č. 137/2006 S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b. ev. podle </w:t>
      </w:r>
      <w:proofErr w:type="spellStart"/>
      <w:r>
        <w:rPr>
          <w:rFonts w:ascii="Arial" w:eastAsiaTheme="minorHAnsi" w:hAnsi="Arial" w:cs="Arial"/>
          <w:i/>
          <w:sz w:val="22"/>
          <w:szCs w:val="22"/>
          <w:lang w:eastAsia="en-US"/>
        </w:rPr>
        <w:t>ust</w:t>
      </w:r>
      <w:proofErr w:type="spellEnd"/>
      <w:r>
        <w:rPr>
          <w:rFonts w:ascii="Arial" w:eastAsiaTheme="minorHAnsi" w:hAnsi="Arial" w:cs="Arial"/>
          <w:i/>
          <w:sz w:val="22"/>
          <w:szCs w:val="22"/>
          <w:lang w:eastAsia="en-US"/>
        </w:rPr>
        <w:t>. § 113 zák. č.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134/2016 Sb. (mimořádně nízká nabídková cena) za účelem objasnění ev. mimořádně nízké nabídkové ceny, resp. zda (pokud Generální finanční ředitelství 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lastRenderedPageBreak/>
        <w:t xml:space="preserve">zadalo komentovanou veřejnou zakázku v rámci standardního zadávacího řízení) byl aplikován přímo postup podle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ust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. § 77 zák. č. 13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7/2006 Sb., resp. § 113 zák. č.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134/2016 Sb. </w:t>
      </w:r>
    </w:p>
    <w:p w:rsidR="00443B44" w:rsidRDefault="00443B44" w:rsidP="00443B4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zakázky malého rozsahu nemají zákonem stanovené náležitosti mimo zásady transparentnosti, přiměřenosti, rovného zacházení, zákazu diskriminace, zákazu omezení účasti v zadávacím řízení dodavatelům z EU, EHS, Švýcarské konfederace nebo dodavatelům, kteří mají sídlo ve státě, se kterým má ČR nebo EU uzavřenu mezinárodní smlouvu zaručující přístup dodavatelům z těchto států k zadávané veřejné zakázce (viz § 6 Zásady zadávání veřejných zakázek a zároveň § 31 zákona č. 134/2016 Sb., o zadávání veřejných zakázek, v platném znění, dříve § 6 a § 18 odst. 5 zákona č. 137/2006 Sb.). </w:t>
      </w:r>
    </w:p>
    <w:p w:rsidR="00443B44" w:rsidRPr="00A70AA7" w:rsidRDefault="00443B44" w:rsidP="00443B4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dané zakázce nebyl aplikován postup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77 zákona č. 137/2006 Sb., jelikož GFŘ nechtělo uplatnit režim přenesené daňové povinnosti a byla hodnocena cena včetně DPH. 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Žádám o informaci, zda Generální finanční ředitelství shledalo v souvislosti se zadáním komentované veřejné zakázky obchodní společnosti 2P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Commercial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Agency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s.r.o. pochybení konkrétního pracovníka či pracovníků GFŘ, jaká odpovědnost byla vůči těmto osobám vyvozena, o jaké osoby se jednalo (není požadována identifikace těchto osob osobními údaji, jako jsou jméno příjmení apod., ale pouze pracovní zařazení). </w:t>
      </w:r>
    </w:p>
    <w:p w:rsidR="00443B44" w:rsidRPr="0082769A" w:rsidRDefault="00443B44" w:rsidP="00443B44">
      <w:pPr>
        <w:pStyle w:val="Bezmezer"/>
        <w:spacing w:after="100" w:afterAutospacing="1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769A">
        <w:rPr>
          <w:rFonts w:ascii="Arial" w:eastAsiaTheme="minorHAnsi" w:hAnsi="Arial" w:cs="Arial"/>
          <w:sz w:val="22"/>
          <w:szCs w:val="22"/>
          <w:lang w:eastAsia="en-US"/>
        </w:rPr>
        <w:t>V souvislosti s uvedenou zakázkou Generální finanční ředitelství ne</w:t>
      </w:r>
      <w:r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82769A">
        <w:rPr>
          <w:rFonts w:ascii="Arial" w:eastAsiaTheme="minorHAnsi" w:hAnsi="Arial" w:cs="Arial"/>
          <w:sz w:val="22"/>
          <w:szCs w:val="22"/>
          <w:lang w:eastAsia="en-US"/>
        </w:rPr>
        <w:t>hle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dalo pochybení u žádného pracovníka či pracovníků. 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Žádám o informaci, zda Generální finanční ředitelství v souvislosti s procesem zadání veřejné zakázky specifikované úvodem této žádosti a obsahem dotazu č. 1 shledalo podezření ze spáchání trestného činu a zda uvedené skutečnosti oznámilo orgánům činným v trestním řízení (tj. zda bylo v této věci podáno trestní oznámení). </w:t>
      </w:r>
    </w:p>
    <w:p w:rsidR="00443B44" w:rsidRDefault="00443B44" w:rsidP="00443B44">
      <w:pPr>
        <w:pStyle w:val="Bezmezer"/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82769A">
        <w:rPr>
          <w:rFonts w:ascii="Arial" w:eastAsiaTheme="minorHAnsi" w:hAnsi="Arial" w:cs="Arial"/>
          <w:sz w:val="22"/>
          <w:szCs w:val="22"/>
          <w:lang w:eastAsia="en-US"/>
        </w:rPr>
        <w:t>V souvislosti s uvedenou zakázkou Generální finanční ředitelství ne</w:t>
      </w:r>
      <w:r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82769A">
        <w:rPr>
          <w:rFonts w:ascii="Arial" w:eastAsiaTheme="minorHAnsi" w:hAnsi="Arial" w:cs="Arial"/>
          <w:sz w:val="22"/>
          <w:szCs w:val="22"/>
          <w:lang w:eastAsia="en-US"/>
        </w:rPr>
        <w:t>hle</w:t>
      </w:r>
      <w:r>
        <w:rPr>
          <w:rFonts w:ascii="Arial" w:eastAsiaTheme="minorHAnsi" w:hAnsi="Arial" w:cs="Arial"/>
          <w:sz w:val="22"/>
          <w:szCs w:val="22"/>
          <w:lang w:eastAsia="en-US"/>
        </w:rPr>
        <w:t>dalo podezření ze spáchání trestného činu.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V případě, bylo-li podáno ze strany Generálního finančního ředitelství trestní oznámení (viz otázka č. 5), zda Generální finanční ředitelství uplatnilo procesní práva svědčící v trestním řízení oznamovateli a požádalo příslušný orgán činný v trestním řízení o sdělení výsledku prověřování a pokud ano, s jakým výsledkem, resp. zda Generální finanční ředitelství v souvislosti s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ev. průběhem trestního řízení v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předmětné věci (iniciovaného podáním trestního oznámení a ev. zahájením úkonů trestního řízení ze strany příslušných orgánů činných v trestním řízení) uplatňuje nároky poškozeného a jakým způsobem. </w:t>
      </w:r>
    </w:p>
    <w:p w:rsidR="00443B44" w:rsidRPr="0082769A" w:rsidRDefault="00443B44" w:rsidP="00443B44">
      <w:pPr>
        <w:pStyle w:val="Bezmezer"/>
        <w:spacing w:after="100" w:afterAutospacing="1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769A">
        <w:rPr>
          <w:rFonts w:ascii="Arial" w:eastAsiaTheme="minorHAnsi" w:hAnsi="Arial" w:cs="Arial"/>
          <w:sz w:val="22"/>
          <w:szCs w:val="22"/>
          <w:lang w:eastAsia="en-US"/>
        </w:rPr>
        <w:t>V dané věci nebylo podáno trestní oznámení.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Žádám o informaci, zda Generální finanční ředitelství v souvislosti s případem popsaným shora (specifikovaným mediálními výstupy definovanými úvodem této žádosti) přijalo jakákoliv metodická opatření či postupy, jejichž účelem je v budoucnu 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lastRenderedPageBreak/>
        <w:t xml:space="preserve">zabránit opakování podobných případů a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v kladném případě žádám tímto o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identifikaci této metodiky či postupů. </w:t>
      </w:r>
    </w:p>
    <w:p w:rsidR="00443B44" w:rsidRPr="00430A80" w:rsidRDefault="00443B44" w:rsidP="00443B44">
      <w:pPr>
        <w:spacing w:after="100" w:afterAutospacing="1"/>
        <w:jc w:val="both"/>
        <w:rPr>
          <w:rFonts w:ascii="Arial" w:hAnsi="Arial" w:cs="Arial"/>
        </w:rPr>
      </w:pPr>
      <w:r w:rsidRPr="00430A80">
        <w:rPr>
          <w:rFonts w:ascii="Arial" w:eastAsiaTheme="minorHAnsi" w:hAnsi="Arial" w:cs="Arial"/>
        </w:rPr>
        <w:t xml:space="preserve">Generální finanční ředitelství </w:t>
      </w:r>
      <w:r w:rsidRPr="00430A80">
        <w:rPr>
          <w:rFonts w:ascii="Arial" w:hAnsi="Arial" w:cs="Arial"/>
        </w:rPr>
        <w:t xml:space="preserve">nepřijalo žádná obecně uplatňovaná preventivní opatření zamezující jeho účasti na daňových podvodech při jakýchkoliv nákupech. GFŘ se musí řídit obecně platnými právními předpisy, např. zákonem č. 134/2016 Sb., o zadávání veřejných zakázek, v platném znění. 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V případě, byla-li přijata opatření či postupy předjímané dotazem č. 7, jakým způsobem je tato metodika či opatření zveřejněna tak, aby ev. mohla být aplikována v rámci běžné podnikatelské praxe ze strany 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jakéhokoliv daňového subjektu v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podobném případě (tento dotaz vychází z obsahu stanoviska Generálního finančního ředitelství ze dne 12. 5. 2017, a to zejména z té části, kdy GFŘ uvádí, ž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e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v případě zadávání vlastních veřejných zakázek na dodávku zboží a služeb nevystupuje v roli správce daně a nevede daňové řízení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, ale je v roli „běžné firmy“ a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od komerčních subjektů se liší pouze tím, ž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e musí nakupovat podle zákona o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veřejných zakázkách). </w:t>
      </w:r>
    </w:p>
    <w:p w:rsidR="00443B44" w:rsidRPr="002D7FC0" w:rsidRDefault="00443B44" w:rsidP="00443B44">
      <w:pPr>
        <w:spacing w:before="100" w:beforeAutospacing="1" w:after="100" w:afterAutospacing="1"/>
        <w:jc w:val="both"/>
        <w:rPr>
          <w:rFonts w:ascii="Arial" w:eastAsiaTheme="minorHAnsi" w:hAnsi="Arial" w:cs="Arial"/>
          <w:i/>
        </w:rPr>
      </w:pPr>
      <w:r>
        <w:rPr>
          <w:rFonts w:ascii="Arial" w:hAnsi="Arial" w:cs="Arial"/>
        </w:rPr>
        <w:t>Obecně</w:t>
      </w:r>
      <w:r w:rsidRPr="00C63ED0">
        <w:rPr>
          <w:rFonts w:ascii="Arial" w:hAnsi="Arial" w:cs="Arial"/>
        </w:rPr>
        <w:t xml:space="preserve"> Generální finanční ředitelství by</w:t>
      </w:r>
      <w:r>
        <w:rPr>
          <w:rFonts w:ascii="Arial" w:hAnsi="Arial" w:cs="Arial"/>
        </w:rPr>
        <w:t xml:space="preserve"> </w:t>
      </w:r>
      <w:r w:rsidRPr="00C63ED0">
        <w:rPr>
          <w:rFonts w:ascii="Arial" w:hAnsi="Arial" w:cs="Arial"/>
        </w:rPr>
        <w:t xml:space="preserve">neuzavřelo smlouvu </w:t>
      </w:r>
      <w:r>
        <w:rPr>
          <w:rFonts w:ascii="Arial" w:hAnsi="Arial" w:cs="Arial"/>
        </w:rPr>
        <w:t xml:space="preserve">s jakýmkoliv dodavatelem </w:t>
      </w:r>
      <w:r w:rsidRPr="00C63ED0">
        <w:rPr>
          <w:rFonts w:ascii="Arial" w:hAnsi="Arial" w:cs="Arial"/>
        </w:rPr>
        <w:t xml:space="preserve">v případě, že by </w:t>
      </w:r>
      <w:r>
        <w:rPr>
          <w:rFonts w:ascii="Arial" w:hAnsi="Arial" w:cs="Arial"/>
        </w:rPr>
        <w:t>dodavatel</w:t>
      </w:r>
      <w:r w:rsidRPr="00C63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nedodržel</w:t>
      </w:r>
      <w:r w:rsidRPr="00C63ED0">
        <w:rPr>
          <w:rFonts w:ascii="Arial" w:hAnsi="Arial" w:cs="Arial"/>
        </w:rPr>
        <w:t xml:space="preserve"> veškeré podmínky, které jako zadavatel nastavilo GFŘ</w:t>
      </w:r>
      <w:r>
        <w:rPr>
          <w:rFonts w:ascii="Arial" w:hAnsi="Arial" w:cs="Arial"/>
        </w:rPr>
        <w:t xml:space="preserve"> na základě zákonných požadavků</w:t>
      </w:r>
      <w:r w:rsidRPr="00C63ED0">
        <w:rPr>
          <w:rFonts w:ascii="Arial" w:hAnsi="Arial" w:cs="Arial"/>
        </w:rPr>
        <w:t xml:space="preserve">, případně pokud by </w:t>
      </w:r>
      <w:r>
        <w:rPr>
          <w:rFonts w:ascii="Arial" w:hAnsi="Arial" w:cs="Arial"/>
        </w:rPr>
        <w:t>dodavatel nedodal</w:t>
      </w:r>
      <w:r w:rsidRPr="00C63ED0">
        <w:rPr>
          <w:rFonts w:ascii="Arial" w:hAnsi="Arial" w:cs="Arial"/>
        </w:rPr>
        <w:t xml:space="preserve"> veškeré požadované dokumenty tak, aby mohlo řádně proběhnout výběrové řízení. Dále by smlouva s</w:t>
      </w:r>
      <w:r>
        <w:rPr>
          <w:rFonts w:ascii="Arial" w:hAnsi="Arial" w:cs="Arial"/>
        </w:rPr>
        <w:t> tímto dodavatelem</w:t>
      </w:r>
      <w:r w:rsidRPr="00C63ED0">
        <w:rPr>
          <w:rFonts w:ascii="Arial" w:hAnsi="Arial" w:cs="Arial"/>
        </w:rPr>
        <w:t xml:space="preserve"> nebyla uzavřena, pokud by </w:t>
      </w:r>
      <w:r>
        <w:rPr>
          <w:rFonts w:ascii="Arial" w:hAnsi="Arial" w:cs="Arial"/>
        </w:rPr>
        <w:t>dodavatel vykazoval</w:t>
      </w:r>
      <w:r w:rsidRPr="00C63ED0">
        <w:rPr>
          <w:rFonts w:ascii="Arial" w:hAnsi="Arial" w:cs="Arial"/>
        </w:rPr>
        <w:t xml:space="preserve"> známky nestandardního c</w:t>
      </w:r>
      <w:r>
        <w:rPr>
          <w:rFonts w:ascii="Arial" w:hAnsi="Arial" w:cs="Arial"/>
        </w:rPr>
        <w:t>hování, nebo pokud by např. byl v insolvenci či by byl veden</w:t>
      </w:r>
      <w:r w:rsidRPr="00C63ED0">
        <w:rPr>
          <w:rFonts w:ascii="Arial" w:hAnsi="Arial" w:cs="Arial"/>
        </w:rPr>
        <w:t xml:space="preserve"> v seznamu nespolehlivých plátců. </w:t>
      </w:r>
    </w:p>
    <w:p w:rsidR="00443B44" w:rsidRDefault="00443B44" w:rsidP="00443B44">
      <w:pPr>
        <w:pStyle w:val="Bezmezer"/>
        <w:numPr>
          <w:ilvl w:val="0"/>
          <w:numId w:val="1"/>
        </w:numPr>
        <w:spacing w:after="100" w:afterAutospacing="1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Žádám o identifikaci veřejně dostupného zdroje, kde je obsažena zadávací dokumentace ev. další zveřejněné dokumenty související s průběhem zadání veřejné zakázky specifikované úvodem a obsahem dotazu č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. 1 této žádosti o informaci; v </w:t>
      </w:r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případě, nebyly-li tyto dokumenty zveřejněny, žádám o zaslání zadávací dokumentace a kopie smlouvy o dodávkách uzavřené mezi GFŘ jako kupujícím a obchodní společnosti 2P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Commercial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>Agency</w:t>
      </w:r>
      <w:proofErr w:type="spellEnd"/>
      <w:r w:rsidRPr="002D7FC0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s.r.o. </w:t>
      </w:r>
    </w:p>
    <w:p w:rsidR="00443B44" w:rsidRDefault="00443B44" w:rsidP="00443B44">
      <w:pPr>
        <w:pStyle w:val="Bezmezer"/>
        <w:spacing w:after="100" w:afterAutospacing="1" w:line="276" w:lineRule="auto"/>
        <w:jc w:val="both"/>
        <w:rPr>
          <w:rFonts w:ascii="Arial" w:hAnsi="Arial" w:cs="Arial"/>
        </w:rPr>
      </w:pPr>
      <w:r w:rsidRPr="003C2B36">
        <w:rPr>
          <w:rFonts w:ascii="Arial" w:hAnsi="Arial" w:cs="Arial"/>
          <w:sz w:val="22"/>
          <w:szCs w:val="22"/>
        </w:rPr>
        <w:t xml:space="preserve">Nákup mobilních telefonů byl proveden přes elektronické tržiště </w:t>
      </w:r>
      <w:proofErr w:type="spellStart"/>
      <w:r w:rsidRPr="003C2B3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emin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Pr="003C2B36">
        <w:rPr>
          <w:rFonts w:ascii="Arial" w:hAnsi="Arial" w:cs="Arial"/>
          <w:sz w:val="22"/>
          <w:szCs w:val="22"/>
        </w:rPr>
        <w:t>přímý odkaz na zakázku:</w:t>
      </w:r>
      <w:hyperlink r:id="rId14" w:history="1">
        <w:r w:rsidRPr="003C2B36">
          <w:rPr>
            <w:rStyle w:val="Hypertextovodkaz"/>
            <w:rFonts w:ascii="Arial" w:hAnsi="Arial" w:cs="Arial"/>
            <w:sz w:val="22"/>
            <w:szCs w:val="22"/>
          </w:rPr>
          <w:t>https://www.gemin.cz/verejne-zakazky/dodavka-mobilnich-telefonu-2015?r=https%3A%2F%2Fwww.gemin.cz%2Fmuj-gemin%2Fzadavaci-rizeni%3Fsort%3D%26order%3D%26filter%255Btname%255D%3D%26filter%255Bsystem_number_format%255D%3D%26filter%255Bcode_award_procedure_fake%255D%3D%26filter%255Bid_department%255D%3D1369%26filter%255Buser_call_author%255D%3D%26submit%255Bfilter%255D%3DFiltrovat%26page%3D2</w:t>
        </w:r>
      </w:hyperlink>
      <w:r w:rsidRPr="003C2B36">
        <w:rPr>
          <w:rFonts w:ascii="Arial" w:hAnsi="Arial" w:cs="Arial"/>
        </w:rPr>
        <w:t>.</w:t>
      </w:r>
    </w:p>
    <w:p w:rsidR="00443B44" w:rsidRDefault="00443B44" w:rsidP="00443B44">
      <w:pPr>
        <w:jc w:val="both"/>
      </w:pPr>
    </w:p>
    <w:sectPr w:rsidR="0044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E80"/>
    <w:multiLevelType w:val="hybridMultilevel"/>
    <w:tmpl w:val="AED4974A"/>
    <w:lvl w:ilvl="0" w:tplc="23327FB4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44"/>
    <w:rsid w:val="003428A3"/>
    <w:rsid w:val="00443B44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B4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3B4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B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4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43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B4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3B4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B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4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4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in.cz/profil/vv-top-s-r-o" TargetMode="External"/><Relationship Id="rId13" Type="http://schemas.openxmlformats.org/officeDocument/2006/relationships/hyperlink" Target="https://www.gemin.cz/profil/2p-commercial-agency-s-r-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emin.cz/profil/comarr-spol-s-r-o" TargetMode="External"/><Relationship Id="rId12" Type="http://schemas.openxmlformats.org/officeDocument/2006/relationships/hyperlink" Target="https://www.gemin.cz/profil/kenast-s-r-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min.cz/profil/synergy-solution-s-r-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min.cz/profil/itage-spol-s-r-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emin.cz/profil/nwt-a-s" TargetMode="External"/><Relationship Id="rId14" Type="http://schemas.openxmlformats.org/officeDocument/2006/relationships/hyperlink" Target="https://www.gemin.cz/verejne-zakazky/dodavka-mobilnich-telefonu-2015?r=https%3A%2F%2Fwww.gemin.cz%2Fmuj-gemin%2Fzadavaci-rizeni%3Fsort%3D%26order%3D%26filter%255Btname%255D%3D%26filter%255Bsystem_number_format%255D%3D%26filter%255Bcode_award_procedure_fake%255D%3D%26filter%255Bid_department%255D%3D1369%26filter%255Buser_call_author%255D%3D%26submit%255Bfilter%255D%3DFiltrovat%26page%3D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A913-9810-492A-9994-984B6E6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1225</Words>
  <Characters>7230</Characters>
  <Application>Microsoft Office Word</Application>
  <DocSecurity>0</DocSecurity>
  <Lines>60</Lines>
  <Paragraphs>16</Paragraphs>
  <ScaleCrop>false</ScaleCrop>
  <Company>Finanční správa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2018-06-14T04:34:00Z</dcterms:created>
  <dcterms:modified xsi:type="dcterms:W3CDTF">2018-06-14T04:38:00Z</dcterms:modified>
</cp:coreProperties>
</file>