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0.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charts/chart43.xml" ContentType="application/vnd.openxmlformats-officedocument.drawingml.chart+xml"/>
  <Override PartName="/word/charts/chart44.xml" ContentType="application/vnd.openxmlformats-officedocument.drawingml.chart+xml"/>
  <Override PartName="/word/charts/chart45.xml" ContentType="application/vnd.openxmlformats-officedocument.drawingml.chart+xml"/>
  <Override PartName="/word/charts/chart46.xml" ContentType="application/vnd.openxmlformats-officedocument.drawingml.chart+xml"/>
  <Override PartName="/word/charts/chart47.xml" ContentType="application/vnd.openxmlformats-officedocument.drawingml.chart+xml"/>
  <Override PartName="/word/charts/chart48.xml" ContentType="application/vnd.openxmlformats-officedocument.drawingml.chart+xml"/>
  <Override PartName="/word/charts/chart49.xml" ContentType="application/vnd.openxmlformats-officedocument.drawingml.chart+xml"/>
  <Override PartName="/word/charts/chart50.xml" ContentType="application/vnd.openxmlformats-officedocument.drawingml.chart+xml"/>
  <Override PartName="/word/charts/chart51.xml" ContentType="application/vnd.openxmlformats-officedocument.drawingml.chart+xml"/>
  <Override PartName="/word/charts/chart52.xml" ContentType="application/vnd.openxmlformats-officedocument.drawingml.chart+xml"/>
  <Override PartName="/word/charts/chart53.xml" ContentType="application/vnd.openxmlformats-officedocument.drawingml.chart+xml"/>
  <Override PartName="/word/charts/chart54.xml" ContentType="application/vnd.openxmlformats-officedocument.drawingml.chart+xml"/>
  <Override PartName="/word/charts/chart55.xml" ContentType="application/vnd.openxmlformats-officedocument.drawingml.chart+xml"/>
  <Override PartName="/word/charts/chart56.xml" ContentType="application/vnd.openxmlformats-officedocument.drawingml.chart+xml"/>
  <Override PartName="/word/charts/chart57.xml" ContentType="application/vnd.openxmlformats-officedocument.drawingml.chart+xml"/>
  <Override PartName="/word/charts/chart58.xml" ContentType="application/vnd.openxmlformats-officedocument.drawingml.chart+xml"/>
  <Override PartName="/word/charts/chart59.xml" ContentType="application/vnd.openxmlformats-officedocument.drawingml.chart+xml"/>
  <Override PartName="/word/charts/chart60.xml" ContentType="application/vnd.openxmlformats-officedocument.drawingml.chart+xml"/>
  <Override PartName="/word/charts/chart61.xml" ContentType="application/vnd.openxmlformats-officedocument.drawingml.chart+xml"/>
  <Override PartName="/word/charts/chart62.xml" ContentType="application/vnd.openxmlformats-officedocument.drawingml.chart+xml"/>
  <Override PartName="/word/charts/chart63.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42881" w14:textId="77777777" w:rsidR="00424BAF" w:rsidRPr="00067CE2" w:rsidRDefault="00424BAF" w:rsidP="009A6FF0">
      <w:pPr>
        <w:pStyle w:val="Nadpis2"/>
        <w:ind w:left="0"/>
        <w:rPr>
          <w:b w:val="0"/>
          <w:sz w:val="28"/>
          <w:szCs w:val="28"/>
        </w:rPr>
      </w:pPr>
      <w:bookmarkStart w:id="0" w:name="_GoBack"/>
      <w:bookmarkEnd w:id="0"/>
      <w:r w:rsidRPr="00067CE2">
        <w:rPr>
          <w:b w:val="0"/>
          <w:sz w:val="28"/>
          <w:szCs w:val="28"/>
        </w:rPr>
        <w:t xml:space="preserve">STEM </w:t>
      </w:r>
      <w:r w:rsidR="009A6FF0">
        <w:rPr>
          <w:b w:val="0"/>
          <w:sz w:val="28"/>
          <w:szCs w:val="28"/>
        </w:rPr>
        <w:t>–</w:t>
      </w:r>
      <w:r w:rsidRPr="00067CE2">
        <w:rPr>
          <w:b w:val="0"/>
          <w:sz w:val="28"/>
          <w:szCs w:val="28"/>
        </w:rPr>
        <w:t xml:space="preserve"> </w:t>
      </w:r>
      <w:r w:rsidR="009A6FF0">
        <w:rPr>
          <w:b w:val="0"/>
          <w:sz w:val="28"/>
          <w:szCs w:val="28"/>
        </w:rPr>
        <w:t xml:space="preserve">Ústav </w:t>
      </w:r>
      <w:r w:rsidRPr="00067CE2">
        <w:rPr>
          <w:b w:val="0"/>
          <w:sz w:val="28"/>
          <w:szCs w:val="28"/>
        </w:rPr>
        <w:t xml:space="preserve">empirických výzkumů, </w:t>
      </w:r>
      <w:r w:rsidR="00E53C2F" w:rsidRPr="00067CE2">
        <w:rPr>
          <w:b w:val="0"/>
          <w:sz w:val="28"/>
          <w:szCs w:val="28"/>
        </w:rPr>
        <w:t>Chlumčanského 5</w:t>
      </w:r>
      <w:r w:rsidRPr="00067CE2">
        <w:rPr>
          <w:b w:val="0"/>
          <w:sz w:val="28"/>
          <w:szCs w:val="28"/>
        </w:rPr>
        <w:t>, 1</w:t>
      </w:r>
      <w:r w:rsidR="00E53C2F" w:rsidRPr="00067CE2">
        <w:rPr>
          <w:b w:val="0"/>
          <w:sz w:val="28"/>
          <w:szCs w:val="28"/>
        </w:rPr>
        <w:t>8</w:t>
      </w:r>
      <w:r w:rsidRPr="00067CE2">
        <w:rPr>
          <w:b w:val="0"/>
          <w:sz w:val="28"/>
          <w:szCs w:val="28"/>
        </w:rPr>
        <w:t>0 0</w:t>
      </w:r>
      <w:r w:rsidR="00E53C2F" w:rsidRPr="00067CE2">
        <w:rPr>
          <w:b w:val="0"/>
          <w:sz w:val="28"/>
          <w:szCs w:val="28"/>
        </w:rPr>
        <w:t>0</w:t>
      </w:r>
      <w:r w:rsidRPr="00067CE2">
        <w:rPr>
          <w:b w:val="0"/>
          <w:sz w:val="28"/>
          <w:szCs w:val="28"/>
        </w:rPr>
        <w:t xml:space="preserve"> Praha </w:t>
      </w:r>
      <w:r w:rsidR="00E53C2F" w:rsidRPr="00067CE2">
        <w:rPr>
          <w:b w:val="0"/>
          <w:sz w:val="28"/>
          <w:szCs w:val="28"/>
        </w:rPr>
        <w:t>8</w:t>
      </w:r>
    </w:p>
    <w:p w14:paraId="3F82DA85" w14:textId="77777777" w:rsidR="00424BAF" w:rsidRDefault="00424BAF">
      <w:pPr>
        <w:jc w:val="center"/>
        <w:rPr>
          <w:i/>
          <w:sz w:val="28"/>
          <w:szCs w:val="20"/>
        </w:rPr>
      </w:pPr>
    </w:p>
    <w:p w14:paraId="1A05EB3F" w14:textId="77777777" w:rsidR="00424BAF" w:rsidRDefault="00424BAF">
      <w:pPr>
        <w:jc w:val="center"/>
        <w:rPr>
          <w:sz w:val="20"/>
          <w:szCs w:val="20"/>
        </w:rPr>
      </w:pPr>
      <w:r>
        <w:object w:dxaOrig="1941" w:dyaOrig="1761" w14:anchorId="2E947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90.75pt" o:ole="" fillcolor="window">
            <v:imagedata r:id="rId9" o:title="" croptop="4642f" cropleft="-1148f" cropright="41726f"/>
            <o:lock v:ext="edit" aspectratio="f"/>
          </v:shape>
          <o:OLEObject Type="Embed" ProgID="Word.Picture.8" ShapeID="_x0000_i1025" DrawAspect="Content" ObjectID="_1525247072" r:id="rId10"/>
        </w:object>
      </w:r>
    </w:p>
    <w:p w14:paraId="701E9BF0" w14:textId="77777777" w:rsidR="00424BAF" w:rsidRDefault="00424BAF">
      <w:pPr>
        <w:spacing w:line="220" w:lineRule="exact"/>
        <w:jc w:val="center"/>
        <w:rPr>
          <w:szCs w:val="20"/>
        </w:rPr>
      </w:pPr>
    </w:p>
    <w:p w14:paraId="61512E09" w14:textId="77777777" w:rsidR="00424BAF" w:rsidRDefault="00424BAF">
      <w:pPr>
        <w:jc w:val="center"/>
        <w:rPr>
          <w:sz w:val="18"/>
          <w:szCs w:val="20"/>
        </w:rPr>
      </w:pPr>
    </w:p>
    <w:p w14:paraId="0260062F" w14:textId="77777777" w:rsidR="00424BAF" w:rsidRDefault="00424BAF">
      <w:pPr>
        <w:jc w:val="center"/>
        <w:rPr>
          <w:b/>
          <w:sz w:val="32"/>
          <w:szCs w:val="20"/>
        </w:rPr>
      </w:pPr>
    </w:p>
    <w:p w14:paraId="38D9F6AB" w14:textId="77777777" w:rsidR="00A570BF" w:rsidRDefault="00A570BF">
      <w:pPr>
        <w:jc w:val="center"/>
        <w:rPr>
          <w:b/>
          <w:sz w:val="32"/>
          <w:szCs w:val="20"/>
        </w:rPr>
      </w:pPr>
    </w:p>
    <w:p w14:paraId="1CD8BD71" w14:textId="77777777" w:rsidR="00A570BF" w:rsidRDefault="00A570BF">
      <w:pPr>
        <w:jc w:val="center"/>
        <w:rPr>
          <w:b/>
          <w:sz w:val="32"/>
          <w:szCs w:val="20"/>
        </w:rPr>
      </w:pPr>
    </w:p>
    <w:p w14:paraId="41E84ED3" w14:textId="77777777" w:rsidR="00424BAF" w:rsidRDefault="00424BAF">
      <w:pPr>
        <w:jc w:val="center"/>
        <w:rPr>
          <w:b/>
          <w:sz w:val="32"/>
          <w:szCs w:val="20"/>
        </w:rPr>
      </w:pPr>
    </w:p>
    <w:p w14:paraId="0824C607" w14:textId="77777777" w:rsidR="00424BAF" w:rsidRDefault="00424BAF">
      <w:pPr>
        <w:jc w:val="center"/>
        <w:rPr>
          <w:b/>
          <w:sz w:val="32"/>
          <w:szCs w:val="20"/>
        </w:rPr>
      </w:pPr>
    </w:p>
    <w:p w14:paraId="05CDB810" w14:textId="77777777" w:rsidR="00424BAF" w:rsidRDefault="00424BAF">
      <w:pPr>
        <w:jc w:val="center"/>
        <w:rPr>
          <w:b/>
          <w:caps/>
          <w:sz w:val="32"/>
          <w:szCs w:val="20"/>
        </w:rPr>
      </w:pPr>
    </w:p>
    <w:p w14:paraId="401AF629" w14:textId="77777777" w:rsidR="00424BAF" w:rsidRDefault="00424BAF">
      <w:pPr>
        <w:jc w:val="center"/>
        <w:rPr>
          <w:b/>
          <w:sz w:val="40"/>
          <w:szCs w:val="20"/>
        </w:rPr>
      </w:pPr>
    </w:p>
    <w:p w14:paraId="65624D26" w14:textId="77777777" w:rsidR="00CD6044" w:rsidRDefault="00CD6044">
      <w:pPr>
        <w:jc w:val="center"/>
        <w:rPr>
          <w:b/>
          <w:sz w:val="40"/>
          <w:szCs w:val="20"/>
        </w:rPr>
      </w:pPr>
    </w:p>
    <w:p w14:paraId="073684DF" w14:textId="77777777" w:rsidR="00424BAF" w:rsidRPr="00A570BF" w:rsidRDefault="002B6DCD">
      <w:pPr>
        <w:jc w:val="center"/>
        <w:rPr>
          <w:b/>
          <w:sz w:val="48"/>
          <w:szCs w:val="48"/>
        </w:rPr>
      </w:pPr>
      <w:r w:rsidRPr="00A570BF">
        <w:rPr>
          <w:b/>
          <w:sz w:val="48"/>
          <w:szCs w:val="48"/>
        </w:rPr>
        <w:t>E</w:t>
      </w:r>
      <w:r w:rsidR="009B5B46" w:rsidRPr="00A570BF">
        <w:rPr>
          <w:b/>
          <w:sz w:val="48"/>
          <w:szCs w:val="48"/>
        </w:rPr>
        <w:t>LEKTRONICKÁ EVIDENCE TRŽEB</w:t>
      </w:r>
      <w:r w:rsidR="0041138C">
        <w:rPr>
          <w:b/>
          <w:sz w:val="48"/>
          <w:szCs w:val="48"/>
        </w:rPr>
        <w:t xml:space="preserve"> II.</w:t>
      </w:r>
    </w:p>
    <w:p w14:paraId="51941F39" w14:textId="77777777" w:rsidR="00424BAF" w:rsidRDefault="00424BAF"/>
    <w:p w14:paraId="3A7EC119" w14:textId="77777777" w:rsidR="00CD6044" w:rsidRDefault="00CD6044"/>
    <w:p w14:paraId="2BC2AB6F" w14:textId="77777777" w:rsidR="00CD6044" w:rsidRDefault="00CD6044"/>
    <w:p w14:paraId="66378283" w14:textId="77777777" w:rsidR="00424BAF" w:rsidRDefault="00424BAF"/>
    <w:p w14:paraId="7A96B67A" w14:textId="77777777" w:rsidR="00CD6044" w:rsidRPr="00A570BF" w:rsidRDefault="00424BAF" w:rsidP="00A570BF">
      <w:pPr>
        <w:pStyle w:val="Nadpis1"/>
        <w:rPr>
          <w:sz w:val="28"/>
          <w:szCs w:val="28"/>
        </w:rPr>
      </w:pPr>
      <w:r w:rsidRPr="00A570BF">
        <w:rPr>
          <w:sz w:val="28"/>
          <w:szCs w:val="28"/>
        </w:rPr>
        <w:t xml:space="preserve">Bleskový průzkum STEM pro </w:t>
      </w:r>
      <w:r w:rsidR="00A570BF" w:rsidRPr="00A570BF">
        <w:rPr>
          <w:sz w:val="28"/>
          <w:szCs w:val="28"/>
        </w:rPr>
        <w:t>Generální finanční ředitelství</w:t>
      </w:r>
    </w:p>
    <w:p w14:paraId="02E34CD4" w14:textId="77777777" w:rsidR="00CD6044" w:rsidRDefault="00CD6044" w:rsidP="00A570BF">
      <w:pPr>
        <w:jc w:val="center"/>
        <w:rPr>
          <w:sz w:val="52"/>
          <w:szCs w:val="20"/>
        </w:rPr>
      </w:pPr>
    </w:p>
    <w:p w14:paraId="650700B5" w14:textId="77777777" w:rsidR="00CD6044" w:rsidRDefault="00CD6044" w:rsidP="00A570BF">
      <w:pPr>
        <w:jc w:val="center"/>
        <w:rPr>
          <w:sz w:val="52"/>
          <w:szCs w:val="20"/>
        </w:rPr>
      </w:pPr>
    </w:p>
    <w:p w14:paraId="58B31997" w14:textId="77777777" w:rsidR="00424BAF" w:rsidRDefault="00424BAF" w:rsidP="00A570BF">
      <w:pPr>
        <w:jc w:val="center"/>
        <w:rPr>
          <w:sz w:val="52"/>
          <w:szCs w:val="20"/>
        </w:rPr>
      </w:pPr>
    </w:p>
    <w:p w14:paraId="69E98DAB" w14:textId="77777777" w:rsidR="00A570BF" w:rsidRDefault="00A570BF" w:rsidP="00A570BF">
      <w:pPr>
        <w:jc w:val="center"/>
        <w:rPr>
          <w:sz w:val="52"/>
          <w:szCs w:val="20"/>
        </w:rPr>
      </w:pPr>
    </w:p>
    <w:p w14:paraId="3FECD4D4" w14:textId="77777777" w:rsidR="00A570BF" w:rsidRDefault="00A570BF" w:rsidP="00A570BF">
      <w:pPr>
        <w:jc w:val="center"/>
        <w:rPr>
          <w:sz w:val="52"/>
          <w:szCs w:val="20"/>
        </w:rPr>
      </w:pPr>
    </w:p>
    <w:p w14:paraId="7BAD9E95" w14:textId="77777777" w:rsidR="00A570BF" w:rsidRDefault="00A570BF" w:rsidP="00A570BF">
      <w:pPr>
        <w:jc w:val="center"/>
        <w:rPr>
          <w:sz w:val="52"/>
          <w:szCs w:val="20"/>
        </w:rPr>
      </w:pPr>
    </w:p>
    <w:p w14:paraId="4EA9A49A" w14:textId="77777777" w:rsidR="00A570BF" w:rsidRDefault="00A570BF" w:rsidP="00A570BF">
      <w:pPr>
        <w:jc w:val="center"/>
        <w:rPr>
          <w:sz w:val="52"/>
          <w:szCs w:val="20"/>
        </w:rPr>
      </w:pPr>
    </w:p>
    <w:p w14:paraId="5D1C8621" w14:textId="77777777" w:rsidR="00424BAF" w:rsidRDefault="00424BAF" w:rsidP="00A570BF">
      <w:pPr>
        <w:jc w:val="center"/>
        <w:rPr>
          <w:sz w:val="52"/>
          <w:szCs w:val="20"/>
        </w:rPr>
      </w:pPr>
    </w:p>
    <w:p w14:paraId="2A528631" w14:textId="77777777" w:rsidR="00424BAF" w:rsidRPr="00A570BF" w:rsidRDefault="00424BAF" w:rsidP="00A570BF">
      <w:pPr>
        <w:jc w:val="center"/>
        <w:rPr>
          <w:b/>
          <w:sz w:val="28"/>
          <w:szCs w:val="28"/>
        </w:rPr>
      </w:pPr>
      <w:r w:rsidRPr="00A570BF">
        <w:rPr>
          <w:b/>
          <w:sz w:val="28"/>
          <w:szCs w:val="28"/>
        </w:rPr>
        <w:t xml:space="preserve">V Praze dne </w:t>
      </w:r>
      <w:r w:rsidR="00203D67">
        <w:rPr>
          <w:b/>
          <w:sz w:val="28"/>
          <w:szCs w:val="28"/>
        </w:rPr>
        <w:t>19</w:t>
      </w:r>
      <w:r w:rsidRPr="00A570BF">
        <w:rPr>
          <w:b/>
          <w:sz w:val="28"/>
          <w:szCs w:val="28"/>
        </w:rPr>
        <w:t xml:space="preserve">. </w:t>
      </w:r>
      <w:r w:rsidR="0041138C">
        <w:rPr>
          <w:b/>
          <w:sz w:val="28"/>
          <w:szCs w:val="28"/>
        </w:rPr>
        <w:t>května</w:t>
      </w:r>
      <w:r w:rsidR="005805A7" w:rsidRPr="00A570BF">
        <w:rPr>
          <w:b/>
          <w:sz w:val="28"/>
          <w:szCs w:val="28"/>
        </w:rPr>
        <w:t xml:space="preserve"> 201</w:t>
      </w:r>
      <w:r w:rsidR="0041138C">
        <w:rPr>
          <w:b/>
          <w:sz w:val="28"/>
          <w:szCs w:val="28"/>
        </w:rPr>
        <w:t>6</w:t>
      </w:r>
    </w:p>
    <w:p w14:paraId="3AF2D659" w14:textId="77777777" w:rsidR="00424BAF" w:rsidRDefault="001C1E94">
      <w:pPr>
        <w:pStyle w:val="Zkladntext"/>
        <w:spacing w:line="312" w:lineRule="auto"/>
        <w:rPr>
          <w:b/>
          <w:i w:val="0"/>
          <w:sz w:val="40"/>
        </w:rPr>
      </w:pPr>
      <w:r>
        <w:rPr>
          <w:b/>
          <w:i w:val="0"/>
          <w:sz w:val="40"/>
        </w:rPr>
        <w:br w:type="page"/>
      </w:r>
      <w:r w:rsidR="00424BAF" w:rsidRPr="00050E8C">
        <w:rPr>
          <w:b/>
          <w:i w:val="0"/>
          <w:sz w:val="40"/>
          <w:shd w:val="clear" w:color="auto" w:fill="DAEEF3"/>
        </w:rPr>
        <w:lastRenderedPageBreak/>
        <w:t>I.</w:t>
      </w:r>
      <w:r w:rsidR="00424BAF" w:rsidRPr="00050E8C">
        <w:rPr>
          <w:b/>
          <w:i w:val="0"/>
          <w:sz w:val="40"/>
          <w:shd w:val="clear" w:color="auto" w:fill="DAEEF3"/>
        </w:rPr>
        <w:tab/>
        <w:t>Údaje o výzkumu</w:t>
      </w:r>
    </w:p>
    <w:p w14:paraId="1115F84A" w14:textId="77777777" w:rsidR="00424BAF" w:rsidRDefault="00D77605">
      <w:pPr>
        <w:jc w:val="both"/>
        <w:rPr>
          <w:b/>
          <w:i/>
          <w:iCs/>
          <w:sz w:val="32"/>
          <w:szCs w:val="20"/>
        </w:rPr>
      </w:pPr>
      <w:r>
        <w:rPr>
          <w:b/>
          <w:i/>
          <w:iCs/>
          <w:sz w:val="32"/>
        </w:rPr>
        <w:pict w14:anchorId="1181EEEC">
          <v:rect id="_x0000_i1026" style="width:453.6pt;height:2.25pt" o:hralign="center" o:hrstd="t" o:hrnoshade="t" o:hr="t" fillcolor="#603" stroked="f"/>
        </w:pict>
      </w:r>
    </w:p>
    <w:p w14:paraId="12E2EE33" w14:textId="77777777" w:rsidR="00424BAF" w:rsidRDefault="00424BAF">
      <w:pPr>
        <w:pStyle w:val="Zkladntext"/>
        <w:rPr>
          <w:i w:val="0"/>
        </w:rPr>
      </w:pPr>
    </w:p>
    <w:p w14:paraId="26D8E0A9" w14:textId="77777777" w:rsidR="00BE49BD" w:rsidRDefault="00BE49BD">
      <w:pPr>
        <w:pStyle w:val="Zkladntext"/>
        <w:rPr>
          <w:i w:val="0"/>
        </w:rPr>
      </w:pPr>
    </w:p>
    <w:p w14:paraId="692F8DD5" w14:textId="77777777" w:rsidR="001B1CF9" w:rsidRDefault="001B1CF9">
      <w:pPr>
        <w:pStyle w:val="Zkladntext"/>
        <w:rPr>
          <w:i w:val="0"/>
        </w:rPr>
      </w:pPr>
    </w:p>
    <w:p w14:paraId="6061076F" w14:textId="77777777" w:rsidR="00424BAF" w:rsidRDefault="00424BAF" w:rsidP="00BE49BD">
      <w:pPr>
        <w:pStyle w:val="Zkladntext"/>
        <w:spacing w:after="480"/>
        <w:ind w:left="3600" w:hanging="3600"/>
        <w:rPr>
          <w:i w:val="0"/>
        </w:rPr>
      </w:pPr>
      <w:r>
        <w:rPr>
          <w:b/>
          <w:bCs/>
          <w:i w:val="0"/>
        </w:rPr>
        <w:t>Typ výzkumu:</w:t>
      </w:r>
      <w:r>
        <w:rPr>
          <w:b/>
          <w:bCs/>
          <w:i w:val="0"/>
        </w:rPr>
        <w:tab/>
      </w:r>
      <w:r>
        <w:rPr>
          <w:i w:val="0"/>
        </w:rPr>
        <w:t>bleskový výzkum</w:t>
      </w:r>
    </w:p>
    <w:p w14:paraId="05670C1D" w14:textId="77777777" w:rsidR="00424BAF" w:rsidRDefault="00424BAF" w:rsidP="00BE49BD">
      <w:pPr>
        <w:pStyle w:val="Zkladntext"/>
        <w:spacing w:after="480"/>
        <w:ind w:left="3600" w:hanging="3600"/>
        <w:rPr>
          <w:i w:val="0"/>
        </w:rPr>
      </w:pPr>
      <w:r>
        <w:rPr>
          <w:b/>
          <w:bCs/>
          <w:i w:val="0"/>
        </w:rPr>
        <w:t>Věcné zaměření výzkumu:</w:t>
      </w:r>
      <w:r>
        <w:rPr>
          <w:b/>
          <w:bCs/>
          <w:i w:val="0"/>
        </w:rPr>
        <w:tab/>
      </w:r>
      <w:r w:rsidR="00CE49B5">
        <w:rPr>
          <w:i w:val="0"/>
        </w:rPr>
        <w:t xml:space="preserve">názory lidí na </w:t>
      </w:r>
      <w:r w:rsidR="009B5B46">
        <w:rPr>
          <w:i w:val="0"/>
        </w:rPr>
        <w:t>podnikání v oboru obchodu a služeb a na elektronickou evidenci tržeb</w:t>
      </w:r>
    </w:p>
    <w:p w14:paraId="5D485F65" w14:textId="77777777" w:rsidR="00424BAF" w:rsidRDefault="00164FCA" w:rsidP="00BE49BD">
      <w:pPr>
        <w:pStyle w:val="Zkladntext"/>
        <w:spacing w:after="480"/>
        <w:ind w:left="3600" w:hanging="3600"/>
        <w:rPr>
          <w:i w:val="0"/>
        </w:rPr>
      </w:pPr>
      <w:r>
        <w:rPr>
          <w:b/>
          <w:bCs/>
          <w:i w:val="0"/>
        </w:rPr>
        <w:t>Zkoumaná populace</w:t>
      </w:r>
      <w:r w:rsidR="00424BAF">
        <w:rPr>
          <w:b/>
          <w:bCs/>
          <w:i w:val="0"/>
        </w:rPr>
        <w:t>:</w:t>
      </w:r>
      <w:r w:rsidR="00424BAF">
        <w:rPr>
          <w:b/>
          <w:bCs/>
          <w:i w:val="0"/>
        </w:rPr>
        <w:tab/>
      </w:r>
      <w:r w:rsidR="00DD41E2">
        <w:rPr>
          <w:bCs/>
          <w:i w:val="0"/>
        </w:rPr>
        <w:t>reprezentativní</w:t>
      </w:r>
      <w:r w:rsidRPr="00164FCA">
        <w:rPr>
          <w:bCs/>
          <w:i w:val="0"/>
        </w:rPr>
        <w:t xml:space="preserve"> soubor</w:t>
      </w:r>
      <w:r>
        <w:rPr>
          <w:b/>
          <w:bCs/>
          <w:i w:val="0"/>
        </w:rPr>
        <w:t xml:space="preserve"> </w:t>
      </w:r>
      <w:r w:rsidR="00424BAF">
        <w:rPr>
          <w:i w:val="0"/>
        </w:rPr>
        <w:t>obyvatel České republiky starší</w:t>
      </w:r>
      <w:r>
        <w:rPr>
          <w:i w:val="0"/>
        </w:rPr>
        <w:t>ch</w:t>
      </w:r>
      <w:r w:rsidR="00424BAF">
        <w:rPr>
          <w:i w:val="0"/>
        </w:rPr>
        <w:t xml:space="preserve"> 18 let</w:t>
      </w:r>
    </w:p>
    <w:p w14:paraId="3C807BA2" w14:textId="77777777" w:rsidR="00424BAF" w:rsidRDefault="00424BAF" w:rsidP="00BE49BD">
      <w:pPr>
        <w:pStyle w:val="Zkladntext"/>
        <w:spacing w:after="480"/>
        <w:ind w:left="3600" w:hanging="3600"/>
        <w:rPr>
          <w:i w:val="0"/>
        </w:rPr>
      </w:pPr>
      <w:r>
        <w:rPr>
          <w:b/>
          <w:bCs/>
          <w:i w:val="0"/>
        </w:rPr>
        <w:t>Metoda výzkumu:</w:t>
      </w:r>
      <w:r>
        <w:rPr>
          <w:i w:val="0"/>
        </w:rPr>
        <w:tab/>
        <w:t>kvótní výběr podle kritérií pohlaví, vzdělání, věku, velikostního pásma obce, regionu</w:t>
      </w:r>
    </w:p>
    <w:p w14:paraId="2813DCCE" w14:textId="77777777" w:rsidR="00424BAF" w:rsidRDefault="00424BAF" w:rsidP="00677738">
      <w:pPr>
        <w:pStyle w:val="Zkladntext"/>
        <w:spacing w:after="480"/>
        <w:ind w:left="3600" w:hanging="3600"/>
        <w:jc w:val="left"/>
        <w:rPr>
          <w:i w:val="0"/>
        </w:rPr>
      </w:pPr>
      <w:r>
        <w:rPr>
          <w:b/>
          <w:bCs/>
          <w:i w:val="0"/>
        </w:rPr>
        <w:t>Technika dotazování:</w:t>
      </w:r>
      <w:r>
        <w:rPr>
          <w:b/>
          <w:bCs/>
          <w:i w:val="0"/>
        </w:rPr>
        <w:tab/>
      </w:r>
      <w:r w:rsidR="00435437" w:rsidRPr="00435437">
        <w:rPr>
          <w:bCs/>
          <w:i w:val="0"/>
        </w:rPr>
        <w:t>1</w:t>
      </w:r>
      <w:r w:rsidR="009A6FF0">
        <w:rPr>
          <w:bCs/>
          <w:i w:val="0"/>
        </w:rPr>
        <w:t>50</w:t>
      </w:r>
      <w:r w:rsidR="00677738">
        <w:rPr>
          <w:bCs/>
          <w:i w:val="0"/>
        </w:rPr>
        <w:t xml:space="preserve"> rozhovorů bylo provedeno</w:t>
      </w:r>
      <w:r w:rsidR="00D44CB7">
        <w:rPr>
          <w:bCs/>
          <w:i w:val="0"/>
        </w:rPr>
        <w:t xml:space="preserve"> </w:t>
      </w:r>
      <w:r>
        <w:rPr>
          <w:i w:val="0"/>
        </w:rPr>
        <w:t>standardizova</w:t>
      </w:r>
      <w:r w:rsidR="00D44CB7">
        <w:rPr>
          <w:i w:val="0"/>
        </w:rPr>
        <w:t>nými</w:t>
      </w:r>
      <w:r>
        <w:rPr>
          <w:i w:val="0"/>
        </w:rPr>
        <w:t xml:space="preserve"> </w:t>
      </w:r>
      <w:r w:rsidR="00DA5E89">
        <w:rPr>
          <w:i w:val="0"/>
        </w:rPr>
        <w:t>telefonickými</w:t>
      </w:r>
      <w:r>
        <w:rPr>
          <w:i w:val="0"/>
        </w:rPr>
        <w:t xml:space="preserve"> rozhovory </w:t>
      </w:r>
      <w:r w:rsidR="00677738">
        <w:rPr>
          <w:i w:val="0"/>
        </w:rPr>
        <w:br/>
      </w:r>
      <w:r>
        <w:rPr>
          <w:i w:val="0"/>
        </w:rPr>
        <w:t>(</w:t>
      </w:r>
      <w:r w:rsidR="00DA5E89">
        <w:rPr>
          <w:i w:val="0"/>
        </w:rPr>
        <w:t>C</w:t>
      </w:r>
      <w:r w:rsidR="00D44CB7">
        <w:rPr>
          <w:i w:val="0"/>
        </w:rPr>
        <w:t>A</w:t>
      </w:r>
      <w:r w:rsidR="00DA5E89">
        <w:rPr>
          <w:i w:val="0"/>
        </w:rPr>
        <w:t>T</w:t>
      </w:r>
      <w:r w:rsidR="00D44CB7">
        <w:rPr>
          <w:i w:val="0"/>
        </w:rPr>
        <w:t>I dotazování</w:t>
      </w:r>
      <w:r>
        <w:rPr>
          <w:i w:val="0"/>
        </w:rPr>
        <w:t>)</w:t>
      </w:r>
      <w:r w:rsidR="00C4029B">
        <w:rPr>
          <w:i w:val="0"/>
        </w:rPr>
        <w:t xml:space="preserve"> a</w:t>
      </w:r>
      <w:r w:rsidR="00D44CB7">
        <w:rPr>
          <w:i w:val="0"/>
        </w:rPr>
        <w:t xml:space="preserve"> </w:t>
      </w:r>
      <w:r w:rsidR="004E55CB">
        <w:rPr>
          <w:i w:val="0"/>
        </w:rPr>
        <w:t>860</w:t>
      </w:r>
      <w:r w:rsidR="00D44CB7">
        <w:rPr>
          <w:i w:val="0"/>
        </w:rPr>
        <w:t xml:space="preserve"> </w:t>
      </w:r>
      <w:r w:rsidR="00DA5E89">
        <w:rPr>
          <w:i w:val="0"/>
        </w:rPr>
        <w:t>internetovým dotazováním</w:t>
      </w:r>
      <w:r w:rsidR="00D44CB7">
        <w:rPr>
          <w:i w:val="0"/>
        </w:rPr>
        <w:t xml:space="preserve"> (CA</w:t>
      </w:r>
      <w:r w:rsidR="00DA5E89">
        <w:rPr>
          <w:i w:val="0"/>
        </w:rPr>
        <w:t>W</w:t>
      </w:r>
      <w:r w:rsidR="00D44CB7">
        <w:rPr>
          <w:i w:val="0"/>
        </w:rPr>
        <w:t xml:space="preserve">I) </w:t>
      </w:r>
    </w:p>
    <w:p w14:paraId="1D0A9458" w14:textId="77777777" w:rsidR="00424BAF" w:rsidRDefault="00424BAF" w:rsidP="00BE49BD">
      <w:pPr>
        <w:pStyle w:val="Zkladntext"/>
        <w:spacing w:after="480"/>
        <w:ind w:left="3600" w:hanging="3600"/>
        <w:rPr>
          <w:i w:val="0"/>
        </w:rPr>
      </w:pPr>
      <w:r>
        <w:rPr>
          <w:b/>
          <w:bCs/>
          <w:i w:val="0"/>
        </w:rPr>
        <w:t>Termín výzkumu:</w:t>
      </w:r>
      <w:r>
        <w:rPr>
          <w:b/>
          <w:bCs/>
          <w:i w:val="0"/>
        </w:rPr>
        <w:tab/>
      </w:r>
      <w:r w:rsidR="009A6FF0">
        <w:rPr>
          <w:bCs/>
          <w:i w:val="0"/>
        </w:rPr>
        <w:t>9</w:t>
      </w:r>
      <w:r w:rsidR="00B7507A">
        <w:rPr>
          <w:bCs/>
          <w:i w:val="0"/>
        </w:rPr>
        <w:t xml:space="preserve">. – </w:t>
      </w:r>
      <w:r w:rsidR="009A6FF0">
        <w:rPr>
          <w:bCs/>
          <w:i w:val="0"/>
        </w:rPr>
        <w:t>13</w:t>
      </w:r>
      <w:r w:rsidR="00B7507A">
        <w:rPr>
          <w:bCs/>
          <w:i w:val="0"/>
        </w:rPr>
        <w:t>.</w:t>
      </w:r>
      <w:r>
        <w:rPr>
          <w:bCs/>
          <w:i w:val="0"/>
        </w:rPr>
        <w:t xml:space="preserve"> </w:t>
      </w:r>
      <w:r w:rsidR="009A6FF0">
        <w:rPr>
          <w:bCs/>
          <w:i w:val="0"/>
        </w:rPr>
        <w:t>května</w:t>
      </w:r>
      <w:r w:rsidR="001C1E94">
        <w:rPr>
          <w:bCs/>
          <w:i w:val="0"/>
        </w:rPr>
        <w:t xml:space="preserve"> 201</w:t>
      </w:r>
      <w:r w:rsidR="002B6DCD">
        <w:rPr>
          <w:bCs/>
          <w:i w:val="0"/>
        </w:rPr>
        <w:t>5</w:t>
      </w:r>
    </w:p>
    <w:p w14:paraId="39E9AEB7" w14:textId="77777777" w:rsidR="00424BAF" w:rsidRPr="00435437" w:rsidRDefault="00424BAF" w:rsidP="00BE49BD">
      <w:pPr>
        <w:pStyle w:val="Zkladntext"/>
        <w:spacing w:after="480"/>
        <w:ind w:left="3600" w:hanging="3600"/>
        <w:jc w:val="left"/>
        <w:rPr>
          <w:i w:val="0"/>
        </w:rPr>
      </w:pPr>
      <w:r>
        <w:rPr>
          <w:b/>
          <w:bCs/>
          <w:i w:val="0"/>
        </w:rPr>
        <w:t>Výsledný soubor:</w:t>
      </w:r>
      <w:r w:rsidR="00745D42">
        <w:rPr>
          <w:b/>
          <w:bCs/>
          <w:i w:val="0"/>
        </w:rPr>
        <w:tab/>
      </w:r>
      <w:r w:rsidR="00313C84">
        <w:rPr>
          <w:b/>
          <w:bCs/>
          <w:i w:val="0"/>
        </w:rPr>
        <w:t>1010</w:t>
      </w:r>
      <w:r w:rsidR="006C5E6A" w:rsidRPr="006C5E6A">
        <w:rPr>
          <w:i w:val="0"/>
        </w:rPr>
        <w:t xml:space="preserve"> </w:t>
      </w:r>
      <w:r w:rsidRPr="006C5E6A">
        <w:rPr>
          <w:i w:val="0"/>
        </w:rPr>
        <w:t>respondentů</w:t>
      </w:r>
      <w:r w:rsidR="00435437">
        <w:rPr>
          <w:i w:val="0"/>
        </w:rPr>
        <w:t>, nevážený soubor</w:t>
      </w:r>
    </w:p>
    <w:p w14:paraId="54E0658A" w14:textId="77777777" w:rsidR="005805A7" w:rsidRDefault="005805A7" w:rsidP="00BE49BD">
      <w:pPr>
        <w:pStyle w:val="Zkladntext"/>
        <w:tabs>
          <w:tab w:val="left" w:pos="3600"/>
        </w:tabs>
        <w:spacing w:after="480"/>
        <w:ind w:left="3600" w:hanging="3600"/>
        <w:rPr>
          <w:i w:val="0"/>
        </w:rPr>
      </w:pPr>
      <w:r w:rsidRPr="00296295">
        <w:rPr>
          <w:b/>
          <w:i w:val="0"/>
        </w:rPr>
        <w:t>Statistická chyba:</w:t>
      </w:r>
      <w:r w:rsidRPr="00296295">
        <w:rPr>
          <w:i w:val="0"/>
        </w:rPr>
        <w:tab/>
        <w:t xml:space="preserve">plus minus </w:t>
      </w:r>
      <w:r w:rsidR="00296295" w:rsidRPr="00435437">
        <w:rPr>
          <w:b/>
          <w:i w:val="0"/>
        </w:rPr>
        <w:t>3,</w:t>
      </w:r>
      <w:r w:rsidR="00435437" w:rsidRPr="00435437">
        <w:rPr>
          <w:b/>
          <w:i w:val="0"/>
        </w:rPr>
        <w:t>1</w:t>
      </w:r>
      <w:r w:rsidRPr="00296295">
        <w:rPr>
          <w:i w:val="0"/>
        </w:rPr>
        <w:t xml:space="preserve"> procentní</w:t>
      </w:r>
      <w:r w:rsidR="00435437">
        <w:rPr>
          <w:i w:val="0"/>
        </w:rPr>
        <w:t>ho</w:t>
      </w:r>
      <w:r w:rsidRPr="00296295">
        <w:rPr>
          <w:i w:val="0"/>
        </w:rPr>
        <w:t xml:space="preserve"> bod</w:t>
      </w:r>
      <w:r w:rsidR="00435437">
        <w:rPr>
          <w:i w:val="0"/>
        </w:rPr>
        <w:t>u</w:t>
      </w:r>
      <w:r w:rsidRPr="00296295">
        <w:rPr>
          <w:i w:val="0"/>
        </w:rPr>
        <w:t xml:space="preserve"> při rozložení odpovědí 60:40 v celém výběrovém souboru</w:t>
      </w:r>
    </w:p>
    <w:p w14:paraId="3FA44EC7" w14:textId="77777777" w:rsidR="005805A7" w:rsidRDefault="005805A7" w:rsidP="00164FCA">
      <w:pPr>
        <w:pStyle w:val="Zkladntext"/>
        <w:spacing w:after="120"/>
        <w:ind w:left="3600" w:hanging="3600"/>
        <w:jc w:val="left"/>
        <w:rPr>
          <w:i w:val="0"/>
        </w:rPr>
      </w:pPr>
    </w:p>
    <w:p w14:paraId="1D6EF47F" w14:textId="77777777" w:rsidR="00424BAF" w:rsidRDefault="00424BAF">
      <w:pPr>
        <w:pStyle w:val="Zkladntext"/>
        <w:spacing w:line="100" w:lineRule="exact"/>
      </w:pPr>
      <w:r>
        <w:br w:type="page"/>
      </w:r>
    </w:p>
    <w:p w14:paraId="44A67B90" w14:textId="77777777" w:rsidR="00424BAF" w:rsidRDefault="00424BAF">
      <w:pPr>
        <w:pStyle w:val="Zkladntext"/>
        <w:rPr>
          <w:b/>
          <w:i w:val="0"/>
          <w:sz w:val="40"/>
        </w:rPr>
      </w:pPr>
      <w:r w:rsidRPr="00050E8C">
        <w:rPr>
          <w:b/>
          <w:bCs/>
          <w:i w:val="0"/>
          <w:sz w:val="40"/>
          <w:shd w:val="clear" w:color="auto" w:fill="DAEEF3"/>
        </w:rPr>
        <w:lastRenderedPageBreak/>
        <w:t>II.</w:t>
      </w:r>
      <w:r w:rsidRPr="00050E8C">
        <w:rPr>
          <w:b/>
          <w:i w:val="0"/>
          <w:sz w:val="40"/>
          <w:shd w:val="clear" w:color="auto" w:fill="DAEEF3"/>
        </w:rPr>
        <w:tab/>
        <w:t>Složení výběrového souboru</w:t>
      </w:r>
      <w:r>
        <w:rPr>
          <w:b/>
          <w:i w:val="0"/>
          <w:sz w:val="40"/>
        </w:rPr>
        <w:t xml:space="preserve"> </w:t>
      </w:r>
    </w:p>
    <w:p w14:paraId="41DF0B78" w14:textId="77777777" w:rsidR="00424BAF" w:rsidRDefault="00D77605">
      <w:pPr>
        <w:spacing w:line="312" w:lineRule="auto"/>
        <w:jc w:val="center"/>
        <w:rPr>
          <w:b/>
          <w:i/>
          <w:iCs/>
          <w:sz w:val="32"/>
          <w:szCs w:val="20"/>
        </w:rPr>
      </w:pPr>
      <w:r>
        <w:rPr>
          <w:b/>
          <w:i/>
          <w:iCs/>
          <w:sz w:val="32"/>
        </w:rPr>
        <w:pict w14:anchorId="40B7972C">
          <v:rect id="_x0000_i1027" style="width:453.6pt;height:2.25pt" o:hralign="center" o:hrstd="t" o:hrnoshade="t" o:hr="t" fillcolor="#603" stroked="f"/>
        </w:pict>
      </w:r>
    </w:p>
    <w:p w14:paraId="24C7D15D" w14:textId="77777777" w:rsidR="00424BAF" w:rsidRDefault="00424BAF">
      <w:pPr>
        <w:pStyle w:val="Zkladntext"/>
        <w:spacing w:line="312" w:lineRule="auto"/>
        <w:rPr>
          <w:bCs/>
          <w:i w:val="0"/>
        </w:rPr>
      </w:pPr>
      <w:r>
        <w:rPr>
          <w:bCs/>
          <w:i w:val="0"/>
        </w:rPr>
        <w:t>(Údaje v procentech, porovnávána populace ČR starší 18 let a výběrový soubor)</w:t>
      </w:r>
    </w:p>
    <w:p w14:paraId="20B79D4D" w14:textId="77777777" w:rsidR="00424BAF" w:rsidRDefault="00424BAF">
      <w:pPr>
        <w:pStyle w:val="Zkladntext"/>
        <w:spacing w:line="312" w:lineRule="auto"/>
        <w:rPr>
          <w:bCs/>
          <w:i w:val="0"/>
        </w:rPr>
      </w:pPr>
    </w:p>
    <w:p w14:paraId="3F1A5582" w14:textId="77777777" w:rsidR="00012FC8" w:rsidRDefault="00012FC8">
      <w:pPr>
        <w:pStyle w:val="Zkladntext"/>
        <w:spacing w:line="312" w:lineRule="auto"/>
        <w:rPr>
          <w:bCs/>
          <w:i w:val="0"/>
        </w:rPr>
      </w:pPr>
    </w:p>
    <w:p w14:paraId="704F4174" w14:textId="77777777" w:rsidR="00424BAF" w:rsidRDefault="00424BAF">
      <w:pPr>
        <w:pStyle w:val="Zkladntext"/>
        <w:spacing w:line="312" w:lineRule="auto"/>
        <w:ind w:left="1416"/>
        <w:rPr>
          <w:b/>
          <w:i w:val="0"/>
        </w:rPr>
      </w:pPr>
      <w:r>
        <w:rPr>
          <w:b/>
          <w:i w:val="0"/>
        </w:rPr>
        <w:t>1. Pohlaví</w:t>
      </w:r>
    </w:p>
    <w:p w14:paraId="2B8EE831" w14:textId="77777777" w:rsidR="00424BAF" w:rsidRDefault="00424BAF">
      <w:pPr>
        <w:pStyle w:val="Zkladntext"/>
        <w:spacing w:line="160" w:lineRule="exact"/>
        <w:ind w:left="1416"/>
        <w:rPr>
          <w:b/>
          <w:i w:val="0"/>
        </w:rPr>
      </w:pPr>
    </w:p>
    <w:tbl>
      <w:tblPr>
        <w:tblW w:w="0" w:type="auto"/>
        <w:tblInd w:w="141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622"/>
        <w:gridCol w:w="1701"/>
        <w:gridCol w:w="1701"/>
      </w:tblGrid>
      <w:tr w:rsidR="00424BAF" w14:paraId="1643D8EE" w14:textId="77777777">
        <w:tc>
          <w:tcPr>
            <w:tcW w:w="2622" w:type="dxa"/>
            <w:tcBorders>
              <w:top w:val="single" w:sz="4" w:space="0" w:color="auto"/>
              <w:left w:val="single" w:sz="4" w:space="0" w:color="auto"/>
              <w:bottom w:val="single" w:sz="4" w:space="0" w:color="auto"/>
              <w:right w:val="single" w:sz="4" w:space="0" w:color="auto"/>
            </w:tcBorders>
            <w:vAlign w:val="center"/>
          </w:tcPr>
          <w:p w14:paraId="246E6CC1" w14:textId="77777777" w:rsidR="00424BAF" w:rsidRDefault="00424BAF">
            <w:pPr>
              <w:spacing w:before="80" w:after="80"/>
            </w:pPr>
          </w:p>
        </w:tc>
        <w:tc>
          <w:tcPr>
            <w:tcW w:w="1701" w:type="dxa"/>
            <w:tcBorders>
              <w:top w:val="single" w:sz="4" w:space="0" w:color="auto"/>
              <w:left w:val="single" w:sz="4" w:space="0" w:color="auto"/>
              <w:bottom w:val="single" w:sz="4" w:space="0" w:color="auto"/>
              <w:right w:val="single" w:sz="4" w:space="0" w:color="auto"/>
            </w:tcBorders>
            <w:vAlign w:val="center"/>
          </w:tcPr>
          <w:p w14:paraId="3B4EF07F" w14:textId="77777777" w:rsidR="00424BAF" w:rsidRDefault="00424BAF">
            <w:pPr>
              <w:spacing w:before="80" w:after="80"/>
              <w:jc w:val="center"/>
            </w:pPr>
            <w:r>
              <w:t>ČR</w:t>
            </w:r>
          </w:p>
        </w:tc>
        <w:tc>
          <w:tcPr>
            <w:tcW w:w="1701" w:type="dxa"/>
            <w:tcBorders>
              <w:top w:val="single" w:sz="4" w:space="0" w:color="auto"/>
              <w:left w:val="single" w:sz="4" w:space="0" w:color="auto"/>
              <w:bottom w:val="single" w:sz="4" w:space="0" w:color="auto"/>
              <w:right w:val="single" w:sz="4" w:space="0" w:color="auto"/>
            </w:tcBorders>
            <w:vAlign w:val="center"/>
          </w:tcPr>
          <w:p w14:paraId="5E6CFD72" w14:textId="77777777" w:rsidR="00424BAF" w:rsidRDefault="00424BAF">
            <w:pPr>
              <w:spacing w:before="80" w:after="80"/>
              <w:jc w:val="center"/>
            </w:pPr>
            <w:r>
              <w:t>soubor</w:t>
            </w:r>
          </w:p>
        </w:tc>
      </w:tr>
      <w:tr w:rsidR="00424BAF" w14:paraId="16019517" w14:textId="77777777">
        <w:tc>
          <w:tcPr>
            <w:tcW w:w="2622" w:type="dxa"/>
            <w:tcBorders>
              <w:top w:val="single" w:sz="4" w:space="0" w:color="auto"/>
              <w:left w:val="single" w:sz="4" w:space="0" w:color="auto"/>
              <w:bottom w:val="single" w:sz="4" w:space="0" w:color="auto"/>
              <w:right w:val="single" w:sz="4" w:space="0" w:color="auto"/>
            </w:tcBorders>
            <w:vAlign w:val="center"/>
          </w:tcPr>
          <w:p w14:paraId="43E5E61F" w14:textId="77777777" w:rsidR="00424BAF" w:rsidRDefault="00424BAF">
            <w:pPr>
              <w:spacing w:before="80" w:after="80"/>
              <w:rPr>
                <w:b/>
                <w:bCs/>
                <w:szCs w:val="20"/>
              </w:rPr>
            </w:pPr>
            <w:r>
              <w:t>Muži</w:t>
            </w:r>
          </w:p>
        </w:tc>
        <w:tc>
          <w:tcPr>
            <w:tcW w:w="1701" w:type="dxa"/>
            <w:tcBorders>
              <w:top w:val="single" w:sz="4" w:space="0" w:color="auto"/>
              <w:left w:val="single" w:sz="4" w:space="0" w:color="auto"/>
              <w:bottom w:val="single" w:sz="4" w:space="0" w:color="auto"/>
              <w:right w:val="single" w:sz="4" w:space="0" w:color="auto"/>
            </w:tcBorders>
            <w:vAlign w:val="center"/>
          </w:tcPr>
          <w:p w14:paraId="65BA0DEC" w14:textId="77777777" w:rsidR="00424BAF" w:rsidRDefault="00424BAF" w:rsidP="00CE49B5">
            <w:pPr>
              <w:spacing w:before="80" w:after="80"/>
              <w:jc w:val="center"/>
              <w:rPr>
                <w:szCs w:val="20"/>
              </w:rPr>
            </w:pPr>
            <w:r>
              <w:t>4</w:t>
            </w:r>
            <w:r w:rsidR="00CE49B5">
              <w:t>9</w:t>
            </w:r>
          </w:p>
        </w:tc>
        <w:tc>
          <w:tcPr>
            <w:tcW w:w="1701" w:type="dxa"/>
            <w:tcBorders>
              <w:top w:val="single" w:sz="4" w:space="0" w:color="auto"/>
              <w:left w:val="single" w:sz="4" w:space="0" w:color="auto"/>
              <w:bottom w:val="single" w:sz="4" w:space="0" w:color="auto"/>
              <w:right w:val="single" w:sz="4" w:space="0" w:color="auto"/>
            </w:tcBorders>
            <w:vAlign w:val="center"/>
          </w:tcPr>
          <w:p w14:paraId="2DB50EB2" w14:textId="77777777" w:rsidR="00424BAF" w:rsidRDefault="0061412C">
            <w:pPr>
              <w:spacing w:before="80" w:after="80"/>
              <w:jc w:val="center"/>
              <w:rPr>
                <w:szCs w:val="20"/>
              </w:rPr>
            </w:pPr>
            <w:r>
              <w:rPr>
                <w:szCs w:val="20"/>
              </w:rPr>
              <w:t>4</w:t>
            </w:r>
            <w:r w:rsidR="006738F3">
              <w:rPr>
                <w:szCs w:val="20"/>
              </w:rPr>
              <w:t>8</w:t>
            </w:r>
          </w:p>
        </w:tc>
      </w:tr>
      <w:tr w:rsidR="00424BAF" w14:paraId="1609B190" w14:textId="77777777">
        <w:tc>
          <w:tcPr>
            <w:tcW w:w="2622" w:type="dxa"/>
            <w:tcBorders>
              <w:top w:val="single" w:sz="4" w:space="0" w:color="auto"/>
              <w:left w:val="single" w:sz="4" w:space="0" w:color="auto"/>
              <w:bottom w:val="single" w:sz="4" w:space="0" w:color="auto"/>
              <w:right w:val="single" w:sz="4" w:space="0" w:color="auto"/>
            </w:tcBorders>
            <w:vAlign w:val="center"/>
          </w:tcPr>
          <w:p w14:paraId="55C13F56" w14:textId="77777777" w:rsidR="00424BAF" w:rsidRDefault="00424BAF">
            <w:pPr>
              <w:spacing w:before="80" w:after="80"/>
              <w:rPr>
                <w:szCs w:val="20"/>
              </w:rPr>
            </w:pPr>
            <w:r>
              <w:t>Ženy</w:t>
            </w:r>
          </w:p>
        </w:tc>
        <w:tc>
          <w:tcPr>
            <w:tcW w:w="1701" w:type="dxa"/>
            <w:tcBorders>
              <w:top w:val="single" w:sz="4" w:space="0" w:color="auto"/>
              <w:left w:val="single" w:sz="4" w:space="0" w:color="auto"/>
              <w:bottom w:val="single" w:sz="4" w:space="0" w:color="auto"/>
              <w:right w:val="single" w:sz="4" w:space="0" w:color="auto"/>
            </w:tcBorders>
            <w:vAlign w:val="center"/>
          </w:tcPr>
          <w:p w14:paraId="71A7B7FB" w14:textId="77777777" w:rsidR="00424BAF" w:rsidRDefault="00424BAF">
            <w:pPr>
              <w:spacing w:before="80" w:after="80"/>
              <w:jc w:val="center"/>
              <w:rPr>
                <w:szCs w:val="20"/>
              </w:rPr>
            </w:pPr>
            <w:r>
              <w:t>5</w:t>
            </w:r>
            <w:r w:rsidR="00CE49B5">
              <w:t>1</w:t>
            </w:r>
          </w:p>
        </w:tc>
        <w:tc>
          <w:tcPr>
            <w:tcW w:w="1701" w:type="dxa"/>
            <w:tcBorders>
              <w:top w:val="single" w:sz="4" w:space="0" w:color="auto"/>
              <w:left w:val="single" w:sz="4" w:space="0" w:color="auto"/>
              <w:bottom w:val="single" w:sz="4" w:space="0" w:color="auto"/>
              <w:right w:val="single" w:sz="4" w:space="0" w:color="auto"/>
            </w:tcBorders>
            <w:vAlign w:val="center"/>
          </w:tcPr>
          <w:p w14:paraId="4A4A0E0C" w14:textId="77777777" w:rsidR="00424BAF" w:rsidRDefault="0061412C" w:rsidP="006738F3">
            <w:pPr>
              <w:spacing w:before="80" w:after="80"/>
              <w:jc w:val="center"/>
              <w:rPr>
                <w:szCs w:val="20"/>
              </w:rPr>
            </w:pPr>
            <w:r>
              <w:rPr>
                <w:szCs w:val="20"/>
              </w:rPr>
              <w:t>5</w:t>
            </w:r>
            <w:r w:rsidR="006738F3">
              <w:rPr>
                <w:szCs w:val="20"/>
              </w:rPr>
              <w:t>2</w:t>
            </w:r>
          </w:p>
        </w:tc>
      </w:tr>
    </w:tbl>
    <w:p w14:paraId="0CED9491" w14:textId="77777777" w:rsidR="00424BAF" w:rsidRDefault="00424BAF" w:rsidP="00C06E4F">
      <w:pPr>
        <w:ind w:left="1418"/>
        <w:rPr>
          <w:b/>
          <w:bCs/>
          <w:sz w:val="28"/>
          <w:szCs w:val="20"/>
        </w:rPr>
      </w:pPr>
    </w:p>
    <w:p w14:paraId="11693B72" w14:textId="77777777" w:rsidR="00424BAF" w:rsidRDefault="00424BAF">
      <w:pPr>
        <w:pStyle w:val="Zkladntext"/>
        <w:spacing w:line="312" w:lineRule="auto"/>
        <w:ind w:left="1416"/>
        <w:rPr>
          <w:b/>
          <w:i w:val="0"/>
        </w:rPr>
      </w:pPr>
      <w:r>
        <w:rPr>
          <w:b/>
          <w:i w:val="0"/>
        </w:rPr>
        <w:t>2. Vzdělání</w:t>
      </w:r>
    </w:p>
    <w:p w14:paraId="0D1A43CF" w14:textId="77777777" w:rsidR="00424BAF" w:rsidRDefault="00424BAF">
      <w:pPr>
        <w:pStyle w:val="Zkladntext"/>
        <w:spacing w:line="160" w:lineRule="exact"/>
        <w:ind w:left="1416"/>
        <w:rPr>
          <w:b/>
          <w:i w:val="0"/>
        </w:rPr>
      </w:pPr>
    </w:p>
    <w:tbl>
      <w:tblPr>
        <w:tblW w:w="0" w:type="auto"/>
        <w:tblInd w:w="141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622"/>
        <w:gridCol w:w="1701"/>
        <w:gridCol w:w="1701"/>
      </w:tblGrid>
      <w:tr w:rsidR="00424BAF" w14:paraId="4B9E6F82" w14:textId="77777777">
        <w:tc>
          <w:tcPr>
            <w:tcW w:w="2622" w:type="dxa"/>
            <w:tcBorders>
              <w:top w:val="single" w:sz="4" w:space="0" w:color="auto"/>
              <w:left w:val="single" w:sz="4" w:space="0" w:color="auto"/>
              <w:bottom w:val="single" w:sz="4" w:space="0" w:color="auto"/>
              <w:right w:val="single" w:sz="4" w:space="0" w:color="auto"/>
            </w:tcBorders>
            <w:vAlign w:val="center"/>
          </w:tcPr>
          <w:p w14:paraId="43A802F0" w14:textId="77777777" w:rsidR="00424BAF" w:rsidRDefault="00424BAF">
            <w:pPr>
              <w:spacing w:before="80" w:after="80"/>
            </w:pPr>
          </w:p>
        </w:tc>
        <w:tc>
          <w:tcPr>
            <w:tcW w:w="1701" w:type="dxa"/>
            <w:tcBorders>
              <w:top w:val="single" w:sz="4" w:space="0" w:color="auto"/>
              <w:left w:val="single" w:sz="4" w:space="0" w:color="auto"/>
              <w:bottom w:val="single" w:sz="4" w:space="0" w:color="auto"/>
              <w:right w:val="single" w:sz="4" w:space="0" w:color="auto"/>
            </w:tcBorders>
            <w:vAlign w:val="center"/>
          </w:tcPr>
          <w:p w14:paraId="1F858782" w14:textId="77777777" w:rsidR="00424BAF" w:rsidRDefault="00424BAF">
            <w:pPr>
              <w:spacing w:before="80" w:after="80"/>
              <w:jc w:val="center"/>
            </w:pPr>
            <w:r>
              <w:t>ČR</w:t>
            </w:r>
          </w:p>
        </w:tc>
        <w:tc>
          <w:tcPr>
            <w:tcW w:w="1701" w:type="dxa"/>
            <w:tcBorders>
              <w:top w:val="single" w:sz="4" w:space="0" w:color="auto"/>
              <w:left w:val="single" w:sz="4" w:space="0" w:color="auto"/>
              <w:bottom w:val="single" w:sz="4" w:space="0" w:color="auto"/>
              <w:right w:val="single" w:sz="4" w:space="0" w:color="auto"/>
            </w:tcBorders>
            <w:vAlign w:val="center"/>
          </w:tcPr>
          <w:p w14:paraId="60AC434B" w14:textId="77777777" w:rsidR="00424BAF" w:rsidRDefault="00424BAF">
            <w:pPr>
              <w:spacing w:before="80" w:after="80"/>
              <w:jc w:val="center"/>
            </w:pPr>
            <w:r>
              <w:t>soubor</w:t>
            </w:r>
          </w:p>
        </w:tc>
      </w:tr>
      <w:tr w:rsidR="00424BAF" w14:paraId="76A704BE" w14:textId="77777777">
        <w:tc>
          <w:tcPr>
            <w:tcW w:w="2622" w:type="dxa"/>
            <w:tcBorders>
              <w:top w:val="single" w:sz="4" w:space="0" w:color="auto"/>
              <w:left w:val="single" w:sz="4" w:space="0" w:color="auto"/>
              <w:bottom w:val="single" w:sz="4" w:space="0" w:color="auto"/>
              <w:right w:val="single" w:sz="4" w:space="0" w:color="auto"/>
            </w:tcBorders>
            <w:vAlign w:val="center"/>
          </w:tcPr>
          <w:p w14:paraId="1828B136" w14:textId="77777777" w:rsidR="00424BAF" w:rsidRDefault="00424BAF">
            <w:pPr>
              <w:spacing w:before="80" w:after="80"/>
              <w:rPr>
                <w:szCs w:val="20"/>
              </w:rPr>
            </w:pPr>
            <w:r>
              <w:t>Základní</w:t>
            </w:r>
          </w:p>
        </w:tc>
        <w:tc>
          <w:tcPr>
            <w:tcW w:w="1701" w:type="dxa"/>
            <w:tcBorders>
              <w:top w:val="single" w:sz="4" w:space="0" w:color="auto"/>
              <w:left w:val="single" w:sz="4" w:space="0" w:color="auto"/>
              <w:bottom w:val="single" w:sz="4" w:space="0" w:color="auto"/>
              <w:right w:val="single" w:sz="4" w:space="0" w:color="auto"/>
            </w:tcBorders>
            <w:vAlign w:val="center"/>
          </w:tcPr>
          <w:p w14:paraId="6C231611" w14:textId="77777777" w:rsidR="00424BAF" w:rsidRDefault="00424BAF" w:rsidP="00435437">
            <w:pPr>
              <w:spacing w:before="80" w:after="80"/>
              <w:jc w:val="center"/>
              <w:rPr>
                <w:szCs w:val="20"/>
              </w:rPr>
            </w:pPr>
            <w:r>
              <w:rPr>
                <w:szCs w:val="20"/>
              </w:rPr>
              <w:t>1</w:t>
            </w:r>
            <w:r w:rsidR="00435437">
              <w:rPr>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91285E3" w14:textId="77777777" w:rsidR="00424BAF" w:rsidRDefault="0061412C">
            <w:pPr>
              <w:spacing w:before="80" w:after="80"/>
              <w:jc w:val="center"/>
              <w:rPr>
                <w:szCs w:val="20"/>
              </w:rPr>
            </w:pPr>
            <w:r>
              <w:rPr>
                <w:szCs w:val="20"/>
              </w:rPr>
              <w:t>11</w:t>
            </w:r>
          </w:p>
        </w:tc>
      </w:tr>
      <w:tr w:rsidR="00424BAF" w14:paraId="4B495512" w14:textId="77777777">
        <w:tc>
          <w:tcPr>
            <w:tcW w:w="2622" w:type="dxa"/>
            <w:tcBorders>
              <w:top w:val="single" w:sz="4" w:space="0" w:color="auto"/>
              <w:left w:val="single" w:sz="4" w:space="0" w:color="auto"/>
              <w:bottom w:val="single" w:sz="4" w:space="0" w:color="auto"/>
              <w:right w:val="single" w:sz="4" w:space="0" w:color="auto"/>
            </w:tcBorders>
            <w:vAlign w:val="center"/>
          </w:tcPr>
          <w:p w14:paraId="006DDE78" w14:textId="77777777" w:rsidR="00424BAF" w:rsidRDefault="00424BAF">
            <w:pPr>
              <w:spacing w:before="80" w:after="80"/>
              <w:rPr>
                <w:szCs w:val="20"/>
              </w:rPr>
            </w:pPr>
            <w:r>
              <w:t>Vyučen (bez maturity)</w:t>
            </w:r>
          </w:p>
        </w:tc>
        <w:tc>
          <w:tcPr>
            <w:tcW w:w="1701" w:type="dxa"/>
            <w:tcBorders>
              <w:top w:val="single" w:sz="4" w:space="0" w:color="auto"/>
              <w:left w:val="single" w:sz="4" w:space="0" w:color="auto"/>
              <w:bottom w:val="single" w:sz="4" w:space="0" w:color="auto"/>
              <w:right w:val="single" w:sz="4" w:space="0" w:color="auto"/>
            </w:tcBorders>
            <w:vAlign w:val="center"/>
          </w:tcPr>
          <w:p w14:paraId="11FC555F" w14:textId="77777777" w:rsidR="00424BAF" w:rsidRDefault="00424BAF" w:rsidP="00CE49B5">
            <w:pPr>
              <w:spacing w:before="80" w:after="80"/>
              <w:jc w:val="center"/>
              <w:rPr>
                <w:szCs w:val="20"/>
              </w:rPr>
            </w:pPr>
            <w:r>
              <w:rPr>
                <w:szCs w:val="20"/>
              </w:rPr>
              <w:t>3</w:t>
            </w:r>
            <w:r w:rsidR="00CE49B5">
              <w:rPr>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14:paraId="1863E4B3" w14:textId="77777777" w:rsidR="00424BAF" w:rsidRDefault="0061412C">
            <w:pPr>
              <w:spacing w:before="80" w:after="80"/>
              <w:jc w:val="center"/>
              <w:rPr>
                <w:szCs w:val="20"/>
              </w:rPr>
            </w:pPr>
            <w:r>
              <w:rPr>
                <w:szCs w:val="20"/>
              </w:rPr>
              <w:t>40</w:t>
            </w:r>
          </w:p>
        </w:tc>
      </w:tr>
      <w:tr w:rsidR="00424BAF" w14:paraId="2B90E5D1" w14:textId="77777777">
        <w:tc>
          <w:tcPr>
            <w:tcW w:w="2622" w:type="dxa"/>
            <w:tcBorders>
              <w:top w:val="single" w:sz="4" w:space="0" w:color="auto"/>
              <w:left w:val="single" w:sz="4" w:space="0" w:color="auto"/>
              <w:bottom w:val="single" w:sz="4" w:space="0" w:color="auto"/>
              <w:right w:val="single" w:sz="4" w:space="0" w:color="auto"/>
            </w:tcBorders>
            <w:vAlign w:val="center"/>
          </w:tcPr>
          <w:p w14:paraId="575171E9" w14:textId="77777777" w:rsidR="00424BAF" w:rsidRDefault="00424BAF">
            <w:pPr>
              <w:spacing w:before="80" w:after="80"/>
              <w:rPr>
                <w:szCs w:val="20"/>
              </w:rPr>
            </w:pPr>
            <w:r>
              <w:t>Maturita</w:t>
            </w:r>
          </w:p>
        </w:tc>
        <w:tc>
          <w:tcPr>
            <w:tcW w:w="1701" w:type="dxa"/>
            <w:tcBorders>
              <w:top w:val="single" w:sz="4" w:space="0" w:color="auto"/>
              <w:left w:val="single" w:sz="4" w:space="0" w:color="auto"/>
              <w:bottom w:val="single" w:sz="4" w:space="0" w:color="auto"/>
              <w:right w:val="single" w:sz="4" w:space="0" w:color="auto"/>
            </w:tcBorders>
            <w:vAlign w:val="center"/>
          </w:tcPr>
          <w:p w14:paraId="6A8BDC0C" w14:textId="77777777" w:rsidR="00424BAF" w:rsidRDefault="00424BAF" w:rsidP="00CE49B5">
            <w:pPr>
              <w:spacing w:before="80" w:after="80"/>
              <w:jc w:val="center"/>
              <w:rPr>
                <w:szCs w:val="20"/>
              </w:rPr>
            </w:pPr>
            <w:r>
              <w:rPr>
                <w:szCs w:val="20"/>
              </w:rPr>
              <w:t>3</w:t>
            </w:r>
            <w:r w:rsidR="00CE49B5">
              <w:rPr>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1285A17D" w14:textId="77777777" w:rsidR="00424BAF" w:rsidRDefault="0061412C" w:rsidP="006738F3">
            <w:pPr>
              <w:spacing w:before="80" w:after="80"/>
              <w:jc w:val="center"/>
              <w:rPr>
                <w:szCs w:val="20"/>
              </w:rPr>
            </w:pPr>
            <w:r>
              <w:rPr>
                <w:szCs w:val="20"/>
              </w:rPr>
              <w:t>3</w:t>
            </w:r>
            <w:r w:rsidR="006738F3">
              <w:rPr>
                <w:szCs w:val="20"/>
              </w:rPr>
              <w:t>4</w:t>
            </w:r>
          </w:p>
        </w:tc>
      </w:tr>
      <w:tr w:rsidR="00424BAF" w14:paraId="1D891323" w14:textId="77777777">
        <w:tc>
          <w:tcPr>
            <w:tcW w:w="2622" w:type="dxa"/>
            <w:tcBorders>
              <w:top w:val="single" w:sz="4" w:space="0" w:color="auto"/>
              <w:left w:val="single" w:sz="4" w:space="0" w:color="auto"/>
              <w:bottom w:val="single" w:sz="4" w:space="0" w:color="auto"/>
              <w:right w:val="single" w:sz="4" w:space="0" w:color="auto"/>
            </w:tcBorders>
            <w:vAlign w:val="center"/>
          </w:tcPr>
          <w:p w14:paraId="70CD5F9C" w14:textId="77777777" w:rsidR="00424BAF" w:rsidRDefault="00424BAF">
            <w:pPr>
              <w:spacing w:before="80" w:after="80"/>
              <w:rPr>
                <w:szCs w:val="20"/>
              </w:rPr>
            </w:pPr>
            <w:r>
              <w:t>VŠ</w:t>
            </w:r>
          </w:p>
        </w:tc>
        <w:tc>
          <w:tcPr>
            <w:tcW w:w="1701" w:type="dxa"/>
            <w:tcBorders>
              <w:top w:val="single" w:sz="4" w:space="0" w:color="auto"/>
              <w:left w:val="single" w:sz="4" w:space="0" w:color="auto"/>
              <w:bottom w:val="single" w:sz="4" w:space="0" w:color="auto"/>
              <w:right w:val="single" w:sz="4" w:space="0" w:color="auto"/>
            </w:tcBorders>
            <w:vAlign w:val="center"/>
          </w:tcPr>
          <w:p w14:paraId="11D9D7F7" w14:textId="77777777" w:rsidR="00424BAF" w:rsidRDefault="00424BAF" w:rsidP="00435437">
            <w:pPr>
              <w:spacing w:before="80" w:after="80"/>
              <w:jc w:val="center"/>
              <w:rPr>
                <w:szCs w:val="20"/>
              </w:rPr>
            </w:pPr>
            <w:r>
              <w:rPr>
                <w:szCs w:val="20"/>
              </w:rPr>
              <w:t>1</w:t>
            </w:r>
            <w:r w:rsidR="00435437">
              <w:rPr>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14:paraId="6D3ECE9B" w14:textId="77777777" w:rsidR="00424BAF" w:rsidRDefault="0061412C" w:rsidP="006738F3">
            <w:pPr>
              <w:spacing w:before="80" w:after="80"/>
              <w:jc w:val="center"/>
              <w:rPr>
                <w:szCs w:val="20"/>
              </w:rPr>
            </w:pPr>
            <w:r>
              <w:rPr>
                <w:szCs w:val="20"/>
              </w:rPr>
              <w:t>1</w:t>
            </w:r>
            <w:r w:rsidR="006738F3">
              <w:rPr>
                <w:szCs w:val="20"/>
              </w:rPr>
              <w:t>5</w:t>
            </w:r>
          </w:p>
        </w:tc>
      </w:tr>
    </w:tbl>
    <w:p w14:paraId="2EAFDEE3" w14:textId="77777777" w:rsidR="00424BAF" w:rsidRDefault="00424BAF" w:rsidP="00C06E4F">
      <w:pPr>
        <w:ind w:left="1418"/>
        <w:rPr>
          <w:b/>
          <w:bCs/>
          <w:sz w:val="28"/>
          <w:szCs w:val="20"/>
        </w:rPr>
      </w:pPr>
    </w:p>
    <w:p w14:paraId="2C0674A5" w14:textId="77777777" w:rsidR="00424BAF" w:rsidRDefault="00424BAF">
      <w:pPr>
        <w:ind w:left="1416"/>
        <w:rPr>
          <w:b/>
          <w:bCs/>
          <w:sz w:val="28"/>
          <w:szCs w:val="20"/>
        </w:rPr>
      </w:pPr>
      <w:r>
        <w:rPr>
          <w:b/>
          <w:bCs/>
          <w:sz w:val="28"/>
        </w:rPr>
        <w:t>3. Věkové kategorie</w:t>
      </w:r>
    </w:p>
    <w:p w14:paraId="0EB5B10A" w14:textId="77777777" w:rsidR="00424BAF" w:rsidRDefault="00424BAF">
      <w:pPr>
        <w:pStyle w:val="Zkladntext"/>
        <w:spacing w:line="160" w:lineRule="exact"/>
        <w:ind w:left="1416"/>
        <w:jc w:val="left"/>
        <w:rPr>
          <w:b/>
          <w:i w:val="0"/>
        </w:rPr>
      </w:pPr>
    </w:p>
    <w:tbl>
      <w:tblPr>
        <w:tblW w:w="0" w:type="auto"/>
        <w:tblInd w:w="141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622"/>
        <w:gridCol w:w="1701"/>
        <w:gridCol w:w="1701"/>
      </w:tblGrid>
      <w:tr w:rsidR="00424BAF" w14:paraId="0817F9A5" w14:textId="77777777">
        <w:tc>
          <w:tcPr>
            <w:tcW w:w="2622" w:type="dxa"/>
            <w:tcBorders>
              <w:top w:val="single" w:sz="4" w:space="0" w:color="auto"/>
              <w:left w:val="single" w:sz="4" w:space="0" w:color="auto"/>
              <w:bottom w:val="single" w:sz="4" w:space="0" w:color="auto"/>
              <w:right w:val="single" w:sz="4" w:space="0" w:color="auto"/>
            </w:tcBorders>
            <w:vAlign w:val="center"/>
          </w:tcPr>
          <w:p w14:paraId="6B5590F7" w14:textId="77777777" w:rsidR="00424BAF" w:rsidRDefault="00424BAF">
            <w:pPr>
              <w:spacing w:before="80" w:after="80"/>
            </w:pPr>
          </w:p>
        </w:tc>
        <w:tc>
          <w:tcPr>
            <w:tcW w:w="1701" w:type="dxa"/>
            <w:tcBorders>
              <w:top w:val="single" w:sz="4" w:space="0" w:color="auto"/>
              <w:left w:val="single" w:sz="4" w:space="0" w:color="auto"/>
              <w:bottom w:val="single" w:sz="4" w:space="0" w:color="auto"/>
              <w:right w:val="single" w:sz="4" w:space="0" w:color="auto"/>
            </w:tcBorders>
            <w:vAlign w:val="center"/>
          </w:tcPr>
          <w:p w14:paraId="4CA746BF" w14:textId="77777777" w:rsidR="00424BAF" w:rsidRDefault="00424BAF">
            <w:pPr>
              <w:spacing w:before="80" w:after="80"/>
              <w:jc w:val="center"/>
            </w:pPr>
            <w:r>
              <w:t xml:space="preserve">ČR </w:t>
            </w:r>
          </w:p>
        </w:tc>
        <w:tc>
          <w:tcPr>
            <w:tcW w:w="1701" w:type="dxa"/>
            <w:tcBorders>
              <w:top w:val="single" w:sz="4" w:space="0" w:color="auto"/>
              <w:left w:val="single" w:sz="4" w:space="0" w:color="auto"/>
              <w:bottom w:val="single" w:sz="4" w:space="0" w:color="auto"/>
              <w:right w:val="single" w:sz="4" w:space="0" w:color="auto"/>
            </w:tcBorders>
            <w:vAlign w:val="center"/>
          </w:tcPr>
          <w:p w14:paraId="4851E055" w14:textId="77777777" w:rsidR="00424BAF" w:rsidRDefault="00424BAF">
            <w:pPr>
              <w:spacing w:before="80" w:after="80"/>
              <w:jc w:val="center"/>
            </w:pPr>
            <w:r>
              <w:t>soubor</w:t>
            </w:r>
          </w:p>
        </w:tc>
      </w:tr>
      <w:tr w:rsidR="00424BAF" w14:paraId="55A9924E" w14:textId="77777777">
        <w:tc>
          <w:tcPr>
            <w:tcW w:w="2622" w:type="dxa"/>
            <w:tcBorders>
              <w:top w:val="single" w:sz="4" w:space="0" w:color="auto"/>
              <w:left w:val="single" w:sz="4" w:space="0" w:color="auto"/>
              <w:bottom w:val="single" w:sz="4" w:space="0" w:color="auto"/>
              <w:right w:val="single" w:sz="4" w:space="0" w:color="auto"/>
            </w:tcBorders>
            <w:vAlign w:val="center"/>
          </w:tcPr>
          <w:p w14:paraId="1AD0DD79" w14:textId="77777777" w:rsidR="00424BAF" w:rsidRDefault="00424BAF">
            <w:pPr>
              <w:spacing w:before="80" w:after="80"/>
              <w:rPr>
                <w:szCs w:val="20"/>
              </w:rPr>
            </w:pPr>
            <w:r>
              <w:t>18-29 let</w:t>
            </w:r>
          </w:p>
        </w:tc>
        <w:tc>
          <w:tcPr>
            <w:tcW w:w="1701" w:type="dxa"/>
            <w:tcBorders>
              <w:top w:val="single" w:sz="4" w:space="0" w:color="auto"/>
              <w:left w:val="single" w:sz="4" w:space="0" w:color="auto"/>
              <w:bottom w:val="single" w:sz="4" w:space="0" w:color="auto"/>
              <w:right w:val="single" w:sz="4" w:space="0" w:color="auto"/>
            </w:tcBorders>
            <w:vAlign w:val="center"/>
          </w:tcPr>
          <w:p w14:paraId="59CD3D14" w14:textId="77777777" w:rsidR="00424BAF" w:rsidRDefault="00CE49B5">
            <w:pPr>
              <w:spacing w:before="80" w:after="80"/>
              <w:jc w:val="center"/>
              <w:rPr>
                <w:szCs w:val="20"/>
              </w:rPr>
            </w:pPr>
            <w:r>
              <w:rPr>
                <w:szCs w:val="20"/>
              </w:rPr>
              <w:t>18</w:t>
            </w:r>
          </w:p>
        </w:tc>
        <w:tc>
          <w:tcPr>
            <w:tcW w:w="1701" w:type="dxa"/>
            <w:tcBorders>
              <w:top w:val="single" w:sz="4" w:space="0" w:color="auto"/>
              <w:left w:val="single" w:sz="4" w:space="0" w:color="auto"/>
              <w:bottom w:val="single" w:sz="4" w:space="0" w:color="auto"/>
              <w:right w:val="single" w:sz="4" w:space="0" w:color="auto"/>
            </w:tcBorders>
            <w:vAlign w:val="center"/>
          </w:tcPr>
          <w:p w14:paraId="31AD051A" w14:textId="77777777" w:rsidR="00424BAF" w:rsidRDefault="006738F3">
            <w:pPr>
              <w:spacing w:before="80" w:after="80"/>
              <w:jc w:val="center"/>
              <w:rPr>
                <w:szCs w:val="20"/>
              </w:rPr>
            </w:pPr>
            <w:r>
              <w:rPr>
                <w:szCs w:val="20"/>
              </w:rPr>
              <w:t>19</w:t>
            </w:r>
          </w:p>
        </w:tc>
      </w:tr>
      <w:tr w:rsidR="00424BAF" w14:paraId="01673056" w14:textId="77777777">
        <w:tc>
          <w:tcPr>
            <w:tcW w:w="2622" w:type="dxa"/>
            <w:tcBorders>
              <w:top w:val="single" w:sz="4" w:space="0" w:color="auto"/>
              <w:left w:val="single" w:sz="4" w:space="0" w:color="auto"/>
              <w:bottom w:val="single" w:sz="4" w:space="0" w:color="auto"/>
              <w:right w:val="single" w:sz="4" w:space="0" w:color="auto"/>
            </w:tcBorders>
            <w:vAlign w:val="center"/>
          </w:tcPr>
          <w:p w14:paraId="655EAEB3" w14:textId="77777777" w:rsidR="00424BAF" w:rsidRDefault="00424BAF">
            <w:pPr>
              <w:spacing w:before="80" w:after="80"/>
              <w:rPr>
                <w:szCs w:val="20"/>
              </w:rPr>
            </w:pPr>
            <w:r>
              <w:t>30-44 let</w:t>
            </w:r>
          </w:p>
        </w:tc>
        <w:tc>
          <w:tcPr>
            <w:tcW w:w="1701" w:type="dxa"/>
            <w:tcBorders>
              <w:top w:val="single" w:sz="4" w:space="0" w:color="auto"/>
              <w:left w:val="single" w:sz="4" w:space="0" w:color="auto"/>
              <w:bottom w:val="single" w:sz="4" w:space="0" w:color="auto"/>
              <w:right w:val="single" w:sz="4" w:space="0" w:color="auto"/>
            </w:tcBorders>
            <w:vAlign w:val="center"/>
          </w:tcPr>
          <w:p w14:paraId="7C60E63C" w14:textId="77777777" w:rsidR="00424BAF" w:rsidRDefault="00CE49B5">
            <w:pPr>
              <w:spacing w:before="80" w:after="80"/>
              <w:jc w:val="center"/>
              <w:rPr>
                <w:szCs w:val="20"/>
              </w:rPr>
            </w:pPr>
            <w:r>
              <w:rPr>
                <w:szCs w:val="20"/>
              </w:rPr>
              <w:t>29</w:t>
            </w:r>
          </w:p>
        </w:tc>
        <w:tc>
          <w:tcPr>
            <w:tcW w:w="1701" w:type="dxa"/>
            <w:tcBorders>
              <w:top w:val="single" w:sz="4" w:space="0" w:color="auto"/>
              <w:left w:val="single" w:sz="4" w:space="0" w:color="auto"/>
              <w:bottom w:val="single" w:sz="4" w:space="0" w:color="auto"/>
              <w:right w:val="single" w:sz="4" w:space="0" w:color="auto"/>
            </w:tcBorders>
            <w:vAlign w:val="center"/>
          </w:tcPr>
          <w:p w14:paraId="2C6D8A81" w14:textId="77777777" w:rsidR="00424BAF" w:rsidRDefault="006738F3">
            <w:pPr>
              <w:spacing w:before="80" w:after="80"/>
              <w:jc w:val="center"/>
              <w:rPr>
                <w:szCs w:val="20"/>
              </w:rPr>
            </w:pPr>
            <w:r>
              <w:rPr>
                <w:szCs w:val="20"/>
              </w:rPr>
              <w:t>28</w:t>
            </w:r>
          </w:p>
        </w:tc>
      </w:tr>
      <w:tr w:rsidR="00424BAF" w14:paraId="79F7BA32" w14:textId="77777777">
        <w:tc>
          <w:tcPr>
            <w:tcW w:w="2622" w:type="dxa"/>
            <w:tcBorders>
              <w:top w:val="single" w:sz="4" w:space="0" w:color="auto"/>
              <w:left w:val="single" w:sz="4" w:space="0" w:color="auto"/>
              <w:bottom w:val="single" w:sz="4" w:space="0" w:color="auto"/>
              <w:right w:val="single" w:sz="4" w:space="0" w:color="auto"/>
            </w:tcBorders>
            <w:vAlign w:val="center"/>
          </w:tcPr>
          <w:p w14:paraId="6EB612EE" w14:textId="77777777" w:rsidR="00424BAF" w:rsidRDefault="00424BAF">
            <w:pPr>
              <w:spacing w:before="80" w:after="80"/>
              <w:rPr>
                <w:szCs w:val="20"/>
              </w:rPr>
            </w:pPr>
            <w:r>
              <w:t>45-59 let</w:t>
            </w:r>
          </w:p>
        </w:tc>
        <w:tc>
          <w:tcPr>
            <w:tcW w:w="1701" w:type="dxa"/>
            <w:tcBorders>
              <w:top w:val="single" w:sz="4" w:space="0" w:color="auto"/>
              <w:left w:val="single" w:sz="4" w:space="0" w:color="auto"/>
              <w:bottom w:val="single" w:sz="4" w:space="0" w:color="auto"/>
              <w:right w:val="single" w:sz="4" w:space="0" w:color="auto"/>
            </w:tcBorders>
            <w:vAlign w:val="center"/>
          </w:tcPr>
          <w:p w14:paraId="5A011D6F" w14:textId="77777777" w:rsidR="00424BAF" w:rsidRDefault="00424BAF" w:rsidP="00CE49B5">
            <w:pPr>
              <w:spacing w:before="80" w:after="80"/>
              <w:jc w:val="center"/>
              <w:rPr>
                <w:szCs w:val="20"/>
              </w:rPr>
            </w:pPr>
            <w:r>
              <w:rPr>
                <w:szCs w:val="20"/>
              </w:rPr>
              <w:t>2</w:t>
            </w:r>
            <w:r w:rsidR="00CE49B5">
              <w:rPr>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14:paraId="77D32322" w14:textId="77777777" w:rsidR="00424BAF" w:rsidRDefault="006738F3" w:rsidP="00453FBF">
            <w:pPr>
              <w:spacing w:before="80" w:after="80"/>
              <w:jc w:val="center"/>
              <w:rPr>
                <w:szCs w:val="20"/>
              </w:rPr>
            </w:pPr>
            <w:r>
              <w:rPr>
                <w:szCs w:val="20"/>
              </w:rPr>
              <w:t>25</w:t>
            </w:r>
          </w:p>
        </w:tc>
      </w:tr>
      <w:tr w:rsidR="00424BAF" w14:paraId="04B629C4" w14:textId="77777777">
        <w:tc>
          <w:tcPr>
            <w:tcW w:w="2622" w:type="dxa"/>
            <w:tcBorders>
              <w:top w:val="single" w:sz="4" w:space="0" w:color="auto"/>
              <w:left w:val="single" w:sz="4" w:space="0" w:color="auto"/>
              <w:bottom w:val="single" w:sz="4" w:space="0" w:color="auto"/>
              <w:right w:val="single" w:sz="4" w:space="0" w:color="auto"/>
            </w:tcBorders>
            <w:vAlign w:val="center"/>
          </w:tcPr>
          <w:p w14:paraId="2FAF1144" w14:textId="77777777" w:rsidR="00424BAF" w:rsidRDefault="00424BAF">
            <w:pPr>
              <w:spacing w:before="80" w:after="80"/>
              <w:rPr>
                <w:szCs w:val="20"/>
              </w:rPr>
            </w:pPr>
            <w:r>
              <w:t>60 a více let</w:t>
            </w:r>
          </w:p>
        </w:tc>
        <w:tc>
          <w:tcPr>
            <w:tcW w:w="1701" w:type="dxa"/>
            <w:tcBorders>
              <w:top w:val="single" w:sz="4" w:space="0" w:color="auto"/>
              <w:left w:val="single" w:sz="4" w:space="0" w:color="auto"/>
              <w:bottom w:val="single" w:sz="4" w:space="0" w:color="auto"/>
              <w:right w:val="single" w:sz="4" w:space="0" w:color="auto"/>
            </w:tcBorders>
            <w:vAlign w:val="center"/>
          </w:tcPr>
          <w:p w14:paraId="6A363657" w14:textId="77777777" w:rsidR="00424BAF" w:rsidRDefault="00424BAF" w:rsidP="00CE49B5">
            <w:pPr>
              <w:spacing w:before="80" w:after="80"/>
              <w:jc w:val="center"/>
              <w:rPr>
                <w:szCs w:val="20"/>
              </w:rPr>
            </w:pPr>
            <w:r>
              <w:rPr>
                <w:szCs w:val="20"/>
              </w:rPr>
              <w:t>2</w:t>
            </w:r>
            <w:r w:rsidR="00CE49B5">
              <w:rPr>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14:paraId="3CCFA33D" w14:textId="77777777" w:rsidR="00424BAF" w:rsidRDefault="006738F3">
            <w:pPr>
              <w:spacing w:before="80" w:after="80"/>
              <w:jc w:val="center"/>
              <w:rPr>
                <w:szCs w:val="20"/>
              </w:rPr>
            </w:pPr>
            <w:r>
              <w:rPr>
                <w:szCs w:val="20"/>
              </w:rPr>
              <w:t>28</w:t>
            </w:r>
          </w:p>
        </w:tc>
      </w:tr>
    </w:tbl>
    <w:p w14:paraId="5B6CE612" w14:textId="77777777" w:rsidR="00424BAF" w:rsidRDefault="00424BAF">
      <w:pPr>
        <w:ind w:left="1416"/>
        <w:rPr>
          <w:b/>
          <w:bCs/>
          <w:szCs w:val="20"/>
        </w:rPr>
      </w:pPr>
    </w:p>
    <w:p w14:paraId="7BC31E45" w14:textId="77777777" w:rsidR="00424BAF" w:rsidRDefault="00424BAF">
      <w:pPr>
        <w:ind w:left="1416"/>
        <w:rPr>
          <w:b/>
          <w:bCs/>
          <w:sz w:val="28"/>
        </w:rPr>
      </w:pPr>
      <w:r>
        <w:rPr>
          <w:b/>
          <w:bCs/>
          <w:sz w:val="28"/>
        </w:rPr>
        <w:t>4. Velikost obce</w:t>
      </w:r>
    </w:p>
    <w:p w14:paraId="076D4630" w14:textId="77777777" w:rsidR="00424BAF" w:rsidRDefault="00424BAF">
      <w:pPr>
        <w:pStyle w:val="Zkladntext"/>
        <w:spacing w:line="160" w:lineRule="exact"/>
        <w:ind w:left="1416"/>
        <w:jc w:val="left"/>
        <w:rPr>
          <w:b/>
          <w:i w:val="0"/>
        </w:rPr>
      </w:pP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0"/>
        <w:gridCol w:w="1701"/>
        <w:gridCol w:w="1701"/>
      </w:tblGrid>
      <w:tr w:rsidR="00424BAF" w14:paraId="02A6D45A" w14:textId="77777777">
        <w:tc>
          <w:tcPr>
            <w:tcW w:w="2620" w:type="dxa"/>
            <w:vAlign w:val="center"/>
          </w:tcPr>
          <w:p w14:paraId="062A6281" w14:textId="77777777" w:rsidR="00424BAF" w:rsidRDefault="00424BAF">
            <w:pPr>
              <w:spacing w:before="80" w:after="80"/>
            </w:pPr>
          </w:p>
        </w:tc>
        <w:tc>
          <w:tcPr>
            <w:tcW w:w="1701" w:type="dxa"/>
            <w:vAlign w:val="center"/>
          </w:tcPr>
          <w:p w14:paraId="231191C8" w14:textId="77777777" w:rsidR="00424BAF" w:rsidRDefault="00424BAF">
            <w:pPr>
              <w:spacing w:before="80" w:after="80"/>
              <w:jc w:val="center"/>
            </w:pPr>
            <w:r>
              <w:t>ČR</w:t>
            </w:r>
          </w:p>
        </w:tc>
        <w:tc>
          <w:tcPr>
            <w:tcW w:w="1701" w:type="dxa"/>
            <w:vAlign w:val="center"/>
          </w:tcPr>
          <w:p w14:paraId="741271DB" w14:textId="77777777" w:rsidR="00424BAF" w:rsidRDefault="00424BAF">
            <w:pPr>
              <w:spacing w:before="80" w:after="80"/>
              <w:jc w:val="center"/>
            </w:pPr>
            <w:r>
              <w:t>soubor</w:t>
            </w:r>
          </w:p>
        </w:tc>
      </w:tr>
      <w:tr w:rsidR="00424BAF" w14:paraId="5A2E28E7" w14:textId="77777777">
        <w:tc>
          <w:tcPr>
            <w:tcW w:w="2620" w:type="dxa"/>
            <w:vAlign w:val="center"/>
          </w:tcPr>
          <w:p w14:paraId="552D227D" w14:textId="77777777" w:rsidR="00424BAF" w:rsidRDefault="00424BAF">
            <w:pPr>
              <w:spacing w:before="80" w:after="80"/>
            </w:pPr>
            <w:r>
              <w:t>Do 1</w:t>
            </w:r>
            <w:r w:rsidR="00FC4C86">
              <w:t> </w:t>
            </w:r>
            <w:r>
              <w:t>999</w:t>
            </w:r>
            <w:r w:rsidR="00FC4C86">
              <w:t xml:space="preserve"> obyvatel</w:t>
            </w:r>
          </w:p>
        </w:tc>
        <w:tc>
          <w:tcPr>
            <w:tcW w:w="1701" w:type="dxa"/>
            <w:vAlign w:val="center"/>
          </w:tcPr>
          <w:p w14:paraId="3F90EC2E" w14:textId="77777777" w:rsidR="00424BAF" w:rsidRDefault="00424BAF">
            <w:pPr>
              <w:spacing w:before="80" w:after="80"/>
              <w:jc w:val="center"/>
            </w:pPr>
            <w:r>
              <w:t>26</w:t>
            </w:r>
          </w:p>
        </w:tc>
        <w:tc>
          <w:tcPr>
            <w:tcW w:w="1701" w:type="dxa"/>
            <w:vAlign w:val="center"/>
          </w:tcPr>
          <w:p w14:paraId="35C1783A" w14:textId="77777777" w:rsidR="00424BAF" w:rsidRDefault="0061412C" w:rsidP="006738F3">
            <w:pPr>
              <w:spacing w:before="80" w:after="80"/>
              <w:jc w:val="center"/>
            </w:pPr>
            <w:r>
              <w:t>2</w:t>
            </w:r>
            <w:r w:rsidR="006738F3">
              <w:t>7</w:t>
            </w:r>
          </w:p>
        </w:tc>
      </w:tr>
      <w:tr w:rsidR="00424BAF" w14:paraId="0BEDDB72" w14:textId="77777777">
        <w:tc>
          <w:tcPr>
            <w:tcW w:w="2620" w:type="dxa"/>
            <w:vAlign w:val="center"/>
          </w:tcPr>
          <w:p w14:paraId="37E40BF9" w14:textId="77777777" w:rsidR="00424BAF" w:rsidRDefault="00424BAF">
            <w:pPr>
              <w:spacing w:before="80" w:after="80"/>
            </w:pPr>
            <w:r>
              <w:t>2 000 – 4</w:t>
            </w:r>
            <w:r w:rsidR="00FC4C86">
              <w:t> </w:t>
            </w:r>
            <w:r>
              <w:t>999</w:t>
            </w:r>
            <w:r w:rsidR="00FC4C86">
              <w:t xml:space="preserve"> obyvatel</w:t>
            </w:r>
          </w:p>
        </w:tc>
        <w:tc>
          <w:tcPr>
            <w:tcW w:w="1701" w:type="dxa"/>
            <w:vAlign w:val="center"/>
          </w:tcPr>
          <w:p w14:paraId="42AC1212" w14:textId="77777777" w:rsidR="00424BAF" w:rsidRDefault="00424BAF" w:rsidP="00CE49B5">
            <w:pPr>
              <w:spacing w:before="80" w:after="80"/>
              <w:jc w:val="center"/>
            </w:pPr>
            <w:r>
              <w:t>1</w:t>
            </w:r>
            <w:r w:rsidR="00CE49B5">
              <w:t>2</w:t>
            </w:r>
          </w:p>
        </w:tc>
        <w:tc>
          <w:tcPr>
            <w:tcW w:w="1701" w:type="dxa"/>
            <w:vAlign w:val="center"/>
          </w:tcPr>
          <w:p w14:paraId="5E3E025F" w14:textId="77777777" w:rsidR="00424BAF" w:rsidRDefault="0061412C" w:rsidP="006738F3">
            <w:pPr>
              <w:spacing w:before="80" w:after="80"/>
              <w:jc w:val="center"/>
            </w:pPr>
            <w:r>
              <w:t>1</w:t>
            </w:r>
            <w:r w:rsidR="006738F3">
              <w:t>1</w:t>
            </w:r>
          </w:p>
        </w:tc>
      </w:tr>
      <w:tr w:rsidR="00424BAF" w14:paraId="098C20CA" w14:textId="77777777">
        <w:tc>
          <w:tcPr>
            <w:tcW w:w="2620" w:type="dxa"/>
            <w:vAlign w:val="center"/>
          </w:tcPr>
          <w:p w14:paraId="3F084B3A" w14:textId="77777777" w:rsidR="00424BAF" w:rsidRDefault="00424BAF">
            <w:pPr>
              <w:spacing w:before="80" w:after="80"/>
            </w:pPr>
            <w:r>
              <w:t>5 000 – 19</w:t>
            </w:r>
            <w:r w:rsidR="00FC4C86">
              <w:t> </w:t>
            </w:r>
            <w:r>
              <w:t>999</w:t>
            </w:r>
            <w:r w:rsidR="00FC4C86">
              <w:t xml:space="preserve"> obyvatel</w:t>
            </w:r>
          </w:p>
        </w:tc>
        <w:tc>
          <w:tcPr>
            <w:tcW w:w="1701" w:type="dxa"/>
            <w:vAlign w:val="center"/>
          </w:tcPr>
          <w:p w14:paraId="3C3ACD5B" w14:textId="77777777" w:rsidR="00424BAF" w:rsidRDefault="00424BAF" w:rsidP="00CE49B5">
            <w:pPr>
              <w:spacing w:before="80" w:after="80"/>
              <w:jc w:val="center"/>
            </w:pPr>
            <w:r>
              <w:t>1</w:t>
            </w:r>
            <w:r w:rsidR="00CE49B5">
              <w:t>8</w:t>
            </w:r>
          </w:p>
        </w:tc>
        <w:tc>
          <w:tcPr>
            <w:tcW w:w="1701" w:type="dxa"/>
            <w:vAlign w:val="center"/>
          </w:tcPr>
          <w:p w14:paraId="36E4FB5E" w14:textId="77777777" w:rsidR="00424BAF" w:rsidRDefault="0061412C" w:rsidP="006738F3">
            <w:pPr>
              <w:spacing w:before="80" w:after="80"/>
              <w:jc w:val="center"/>
            </w:pPr>
            <w:r>
              <w:t>1</w:t>
            </w:r>
            <w:r w:rsidR="006738F3">
              <w:t>7</w:t>
            </w:r>
          </w:p>
        </w:tc>
      </w:tr>
      <w:tr w:rsidR="00424BAF" w14:paraId="0165971C" w14:textId="77777777">
        <w:tc>
          <w:tcPr>
            <w:tcW w:w="2620" w:type="dxa"/>
            <w:vAlign w:val="center"/>
          </w:tcPr>
          <w:p w14:paraId="5FD29E7A" w14:textId="77777777" w:rsidR="00424BAF" w:rsidRDefault="00424BAF" w:rsidP="00C34CB1">
            <w:pPr>
              <w:spacing w:before="80" w:after="80"/>
            </w:pPr>
            <w:r>
              <w:t>20 000 – 9</w:t>
            </w:r>
            <w:r w:rsidR="00C34CB1">
              <w:t>9</w:t>
            </w:r>
            <w:r w:rsidR="00FC4C86">
              <w:t> </w:t>
            </w:r>
            <w:r w:rsidR="00C34CB1">
              <w:t>999</w:t>
            </w:r>
            <w:r w:rsidR="00FC4C86">
              <w:t xml:space="preserve"> obyvatel</w:t>
            </w:r>
          </w:p>
        </w:tc>
        <w:tc>
          <w:tcPr>
            <w:tcW w:w="1701" w:type="dxa"/>
            <w:vAlign w:val="center"/>
          </w:tcPr>
          <w:p w14:paraId="2E1697E5" w14:textId="77777777" w:rsidR="00424BAF" w:rsidRDefault="002F7B34" w:rsidP="00860AE5">
            <w:pPr>
              <w:spacing w:before="80" w:after="80"/>
              <w:jc w:val="center"/>
            </w:pPr>
            <w:r>
              <w:t>21</w:t>
            </w:r>
          </w:p>
        </w:tc>
        <w:tc>
          <w:tcPr>
            <w:tcW w:w="1701" w:type="dxa"/>
            <w:vAlign w:val="center"/>
          </w:tcPr>
          <w:p w14:paraId="33CE0369" w14:textId="77777777" w:rsidR="00424BAF" w:rsidRDefault="00C34CB1" w:rsidP="009D0162">
            <w:pPr>
              <w:spacing w:before="80" w:after="80"/>
              <w:jc w:val="center"/>
            </w:pPr>
            <w:r>
              <w:t>24</w:t>
            </w:r>
          </w:p>
        </w:tc>
      </w:tr>
      <w:tr w:rsidR="00424BAF" w14:paraId="5CB380D5" w14:textId="77777777">
        <w:tc>
          <w:tcPr>
            <w:tcW w:w="2620" w:type="dxa"/>
            <w:vAlign w:val="center"/>
          </w:tcPr>
          <w:p w14:paraId="3162B6FC" w14:textId="77777777" w:rsidR="00424BAF" w:rsidRDefault="00C34CB1" w:rsidP="00C34CB1">
            <w:pPr>
              <w:spacing w:before="80" w:after="80"/>
            </w:pPr>
            <w:r>
              <w:t>10</w:t>
            </w:r>
            <w:r w:rsidR="00B554E4">
              <w:t>0</w:t>
            </w:r>
            <w:r w:rsidR="00424BAF">
              <w:t xml:space="preserve"> 000 a více</w:t>
            </w:r>
            <w:r w:rsidR="00FC4C86">
              <w:t xml:space="preserve"> obyvatel</w:t>
            </w:r>
          </w:p>
        </w:tc>
        <w:tc>
          <w:tcPr>
            <w:tcW w:w="1701" w:type="dxa"/>
            <w:vAlign w:val="center"/>
          </w:tcPr>
          <w:p w14:paraId="3312A2A9" w14:textId="77777777" w:rsidR="00424BAF" w:rsidRDefault="002F7B34">
            <w:pPr>
              <w:spacing w:before="80" w:after="80"/>
              <w:jc w:val="center"/>
            </w:pPr>
            <w:r>
              <w:t>22</w:t>
            </w:r>
          </w:p>
        </w:tc>
        <w:tc>
          <w:tcPr>
            <w:tcW w:w="1701" w:type="dxa"/>
            <w:vAlign w:val="center"/>
          </w:tcPr>
          <w:p w14:paraId="6CF70CD0" w14:textId="77777777" w:rsidR="00424BAF" w:rsidRDefault="00C34CB1" w:rsidP="009D0162">
            <w:pPr>
              <w:spacing w:before="80" w:after="80"/>
              <w:jc w:val="center"/>
            </w:pPr>
            <w:r>
              <w:t>21</w:t>
            </w:r>
          </w:p>
        </w:tc>
      </w:tr>
    </w:tbl>
    <w:p w14:paraId="6D6257F3" w14:textId="77777777" w:rsidR="00424BAF" w:rsidRDefault="00424BAF">
      <w:pPr>
        <w:pStyle w:val="Zkladntext"/>
        <w:spacing w:line="312" w:lineRule="auto"/>
        <w:rPr>
          <w:b/>
          <w:bCs/>
          <w:i w:val="0"/>
          <w:sz w:val="40"/>
        </w:rPr>
      </w:pPr>
      <w:r w:rsidRPr="00050E8C">
        <w:rPr>
          <w:b/>
          <w:bCs/>
          <w:i w:val="0"/>
          <w:sz w:val="40"/>
          <w:shd w:val="clear" w:color="auto" w:fill="DAEEF3"/>
        </w:rPr>
        <w:t>III.</w:t>
      </w:r>
      <w:r w:rsidRPr="00050E8C">
        <w:rPr>
          <w:b/>
          <w:bCs/>
          <w:i w:val="0"/>
          <w:sz w:val="40"/>
          <w:shd w:val="clear" w:color="auto" w:fill="DAEEF3"/>
        </w:rPr>
        <w:tab/>
        <w:t>Základní poznatky</w:t>
      </w:r>
      <w:r>
        <w:rPr>
          <w:b/>
          <w:bCs/>
          <w:i w:val="0"/>
          <w:sz w:val="40"/>
        </w:rPr>
        <w:t xml:space="preserve"> </w:t>
      </w:r>
    </w:p>
    <w:p w14:paraId="70D4E6AE" w14:textId="77777777" w:rsidR="00424BAF" w:rsidRDefault="00D77605">
      <w:pPr>
        <w:spacing w:before="120" w:line="160" w:lineRule="exact"/>
        <w:jc w:val="center"/>
        <w:rPr>
          <w:b/>
          <w:i/>
          <w:iCs/>
          <w:sz w:val="32"/>
          <w:szCs w:val="20"/>
        </w:rPr>
      </w:pPr>
      <w:r>
        <w:rPr>
          <w:b/>
          <w:i/>
          <w:iCs/>
          <w:sz w:val="32"/>
        </w:rPr>
        <w:pict w14:anchorId="5E2F38BE">
          <v:rect id="_x0000_i1028" style="width:453.6pt;height:2.25pt" o:hralign="center" o:hrstd="t" o:hrnoshade="t" o:hr="t" fillcolor="#603" stroked="f"/>
        </w:pict>
      </w:r>
    </w:p>
    <w:p w14:paraId="32A2A682" w14:textId="77777777" w:rsidR="00424BAF" w:rsidRDefault="00424BAF" w:rsidP="00DC2C59">
      <w:pPr>
        <w:pStyle w:val="Zkladntext"/>
        <w:rPr>
          <w:i w:val="0"/>
          <w:sz w:val="16"/>
          <w:szCs w:val="16"/>
        </w:rPr>
      </w:pPr>
    </w:p>
    <w:p w14:paraId="24DAA876" w14:textId="77777777" w:rsidR="00424BAF" w:rsidRDefault="00424BAF">
      <w:pPr>
        <w:pStyle w:val="Zkladntext"/>
        <w:spacing w:before="60" w:line="288" w:lineRule="auto"/>
        <w:rPr>
          <w:b/>
          <w:i w:val="0"/>
          <w:szCs w:val="32"/>
        </w:rPr>
      </w:pPr>
      <w:r>
        <w:rPr>
          <w:b/>
          <w:i w:val="0"/>
          <w:szCs w:val="32"/>
        </w:rPr>
        <w:t xml:space="preserve">V průzkumu byly zjišťovány názory na </w:t>
      </w:r>
      <w:r w:rsidR="00895024">
        <w:rPr>
          <w:b/>
          <w:i w:val="0"/>
          <w:szCs w:val="32"/>
        </w:rPr>
        <w:t>šestnáct</w:t>
      </w:r>
      <w:r>
        <w:rPr>
          <w:b/>
          <w:i w:val="0"/>
          <w:szCs w:val="32"/>
        </w:rPr>
        <w:t xml:space="preserve"> otázek:</w:t>
      </w:r>
    </w:p>
    <w:p w14:paraId="737D8B89" w14:textId="77777777" w:rsidR="00860AE5" w:rsidRDefault="00860AE5" w:rsidP="00DC2C59">
      <w:pPr>
        <w:pStyle w:val="Zkladntext"/>
        <w:spacing w:line="160" w:lineRule="exact"/>
        <w:rPr>
          <w:b/>
          <w:i w:val="0"/>
          <w:szCs w:val="32"/>
        </w:rPr>
      </w:pPr>
    </w:p>
    <w:p w14:paraId="325EEA5A" w14:textId="77777777" w:rsidR="00F165AD" w:rsidRDefault="00F165AD" w:rsidP="00895024">
      <w:pPr>
        <w:numPr>
          <w:ilvl w:val="0"/>
          <w:numId w:val="5"/>
        </w:numPr>
        <w:tabs>
          <w:tab w:val="left" w:pos="360"/>
        </w:tabs>
        <w:spacing w:line="312" w:lineRule="auto"/>
        <w:ind w:left="714" w:hanging="357"/>
        <w:jc w:val="both"/>
        <w:rPr>
          <w:b/>
          <w:bCs/>
          <w:i/>
        </w:rPr>
      </w:pPr>
      <w:r w:rsidRPr="00F165AD">
        <w:rPr>
          <w:b/>
          <w:bCs/>
          <w:i/>
        </w:rPr>
        <w:t>Zvážíte-li všechna pro a proti, řekl(a) byste, že daňová morálka obchodníků, prodejců zboží a služeb je dnes v ČR:</w:t>
      </w:r>
    </w:p>
    <w:p w14:paraId="7E51419A" w14:textId="77777777" w:rsidR="00E07DEC" w:rsidRDefault="00E07DEC" w:rsidP="00E07DEC">
      <w:pPr>
        <w:spacing w:line="288" w:lineRule="auto"/>
        <w:ind w:left="720"/>
      </w:pPr>
      <w:r>
        <w:t>1</w:t>
      </w:r>
      <w:r>
        <w:tab/>
        <w:t>Velmi dobrá</w:t>
      </w:r>
    </w:p>
    <w:p w14:paraId="0E4EB905" w14:textId="77777777" w:rsidR="00E07DEC" w:rsidRDefault="00E07DEC" w:rsidP="00E07DEC">
      <w:pPr>
        <w:spacing w:line="288" w:lineRule="auto"/>
        <w:ind w:left="720"/>
      </w:pPr>
      <w:r>
        <w:t>2</w:t>
      </w:r>
      <w:r>
        <w:tab/>
        <w:t>Spíše dobrá</w:t>
      </w:r>
    </w:p>
    <w:p w14:paraId="7D1CA2E5" w14:textId="77777777" w:rsidR="00E07DEC" w:rsidRDefault="00E07DEC" w:rsidP="00E07DEC">
      <w:pPr>
        <w:spacing w:line="288" w:lineRule="auto"/>
        <w:ind w:left="720"/>
      </w:pPr>
      <w:r>
        <w:t>3</w:t>
      </w:r>
      <w:r>
        <w:tab/>
        <w:t>Spíše špatná</w:t>
      </w:r>
    </w:p>
    <w:p w14:paraId="4EA2203B" w14:textId="77777777" w:rsidR="00E07DEC" w:rsidRDefault="00E07DEC" w:rsidP="00E07DEC">
      <w:pPr>
        <w:spacing w:line="288" w:lineRule="auto"/>
        <w:ind w:left="720"/>
      </w:pPr>
      <w:r>
        <w:t>4</w:t>
      </w:r>
      <w:r>
        <w:tab/>
        <w:t>Velmi špatná</w:t>
      </w:r>
    </w:p>
    <w:p w14:paraId="3CBB46C8" w14:textId="77777777" w:rsidR="00F165AD" w:rsidRPr="00F165AD" w:rsidRDefault="00F165AD" w:rsidP="00DC2C59">
      <w:pPr>
        <w:tabs>
          <w:tab w:val="left" w:pos="360"/>
        </w:tabs>
        <w:spacing w:line="200" w:lineRule="exact"/>
        <w:ind w:left="720"/>
        <w:jc w:val="both"/>
        <w:rPr>
          <w:b/>
          <w:bCs/>
          <w:i/>
        </w:rPr>
      </w:pPr>
    </w:p>
    <w:p w14:paraId="77974E34" w14:textId="77777777" w:rsidR="00D4112B" w:rsidRPr="00D4112B" w:rsidRDefault="00D4112B" w:rsidP="00895024">
      <w:pPr>
        <w:pStyle w:val="Zkladntext"/>
        <w:numPr>
          <w:ilvl w:val="0"/>
          <w:numId w:val="8"/>
        </w:numPr>
        <w:spacing w:before="120" w:line="288" w:lineRule="auto"/>
        <w:ind w:left="714" w:hanging="357"/>
        <w:rPr>
          <w:b/>
          <w:bCs/>
          <w:sz w:val="24"/>
          <w:szCs w:val="24"/>
        </w:rPr>
      </w:pPr>
      <w:r w:rsidRPr="00D4112B">
        <w:rPr>
          <w:b/>
          <w:bCs/>
          <w:sz w:val="24"/>
          <w:szCs w:val="24"/>
        </w:rPr>
        <w:t xml:space="preserve">Hledá podle Vás stát cesty, jak dosáhnout vyššího výběru daní od obchodníků </w:t>
      </w:r>
      <w:r w:rsidRPr="00D4112B">
        <w:rPr>
          <w:b/>
          <w:bCs/>
          <w:sz w:val="24"/>
          <w:szCs w:val="24"/>
        </w:rPr>
        <w:br/>
        <w:t>a prodejců na našem trhu?</w:t>
      </w:r>
    </w:p>
    <w:p w14:paraId="02A02225" w14:textId="77777777" w:rsidR="00D4112B" w:rsidRPr="00D4112B" w:rsidRDefault="00D4112B" w:rsidP="00D4112B">
      <w:pPr>
        <w:pStyle w:val="Odstavecseseznamem"/>
        <w:tabs>
          <w:tab w:val="left" w:pos="360"/>
        </w:tabs>
        <w:spacing w:line="200" w:lineRule="exact"/>
        <w:jc w:val="both"/>
        <w:rPr>
          <w:b/>
          <w:bCs/>
          <w:i/>
        </w:rPr>
      </w:pPr>
    </w:p>
    <w:p w14:paraId="544AA5A7" w14:textId="77777777" w:rsidR="00D44CB7" w:rsidRPr="00DC2C59" w:rsidRDefault="00DC2C59" w:rsidP="00895024">
      <w:pPr>
        <w:pStyle w:val="Zkladntext"/>
        <w:numPr>
          <w:ilvl w:val="0"/>
          <w:numId w:val="8"/>
        </w:numPr>
        <w:spacing w:before="120" w:line="288" w:lineRule="auto"/>
        <w:ind w:left="714" w:hanging="357"/>
        <w:rPr>
          <w:b/>
          <w:bCs/>
          <w:sz w:val="24"/>
          <w:szCs w:val="24"/>
        </w:rPr>
      </w:pPr>
      <w:r w:rsidRPr="00DC2C59">
        <w:rPr>
          <w:b/>
          <w:bCs/>
          <w:sz w:val="24"/>
          <w:szCs w:val="24"/>
        </w:rPr>
        <w:t>Slyšel(a) jste někdy termín nebo slovní spojení „elektronická evidence tržeb“?</w:t>
      </w:r>
    </w:p>
    <w:p w14:paraId="4EC1EB0F" w14:textId="77777777" w:rsidR="00D44CB7" w:rsidRPr="00D44CB7" w:rsidRDefault="00D44CB7" w:rsidP="00DC2C59">
      <w:pPr>
        <w:tabs>
          <w:tab w:val="left" w:pos="360"/>
        </w:tabs>
        <w:spacing w:line="200" w:lineRule="exact"/>
        <w:ind w:left="720"/>
        <w:jc w:val="both"/>
        <w:rPr>
          <w:b/>
          <w:bCs/>
          <w:i/>
        </w:rPr>
      </w:pPr>
    </w:p>
    <w:p w14:paraId="006384CE" w14:textId="77777777" w:rsidR="00D44CB7" w:rsidRPr="00DC2C59" w:rsidRDefault="00DC2C59" w:rsidP="00895024">
      <w:pPr>
        <w:pStyle w:val="Zkladntext"/>
        <w:numPr>
          <w:ilvl w:val="0"/>
          <w:numId w:val="8"/>
        </w:numPr>
        <w:spacing w:before="120" w:line="288" w:lineRule="auto"/>
        <w:ind w:left="714" w:hanging="357"/>
        <w:rPr>
          <w:b/>
          <w:bCs/>
          <w:sz w:val="24"/>
          <w:szCs w:val="24"/>
        </w:rPr>
      </w:pPr>
      <w:r w:rsidRPr="00DC2C59">
        <w:rPr>
          <w:b/>
          <w:bCs/>
          <w:sz w:val="24"/>
          <w:szCs w:val="24"/>
        </w:rPr>
        <w:t xml:space="preserve">Myslíte si, že zavedení elektronické evidence tržeb postupně přispěje ke zvýšení </w:t>
      </w:r>
      <w:r w:rsidRPr="00DC2C59">
        <w:rPr>
          <w:b/>
          <w:bCs/>
          <w:sz w:val="24"/>
          <w:szCs w:val="24"/>
          <w:u w:val="single"/>
        </w:rPr>
        <w:t>důvěry</w:t>
      </w:r>
      <w:r w:rsidRPr="00DC2C59">
        <w:rPr>
          <w:b/>
          <w:bCs/>
          <w:sz w:val="24"/>
          <w:szCs w:val="24"/>
        </w:rPr>
        <w:t xml:space="preserve"> zákazníků k obchodníkům a poskytovatelům služeb?</w:t>
      </w:r>
    </w:p>
    <w:p w14:paraId="04EA8AF6" w14:textId="77777777" w:rsidR="00D44CB7" w:rsidRPr="00D44CB7" w:rsidRDefault="00D44CB7" w:rsidP="00DC2C59">
      <w:pPr>
        <w:pStyle w:val="Zkladntext"/>
        <w:spacing w:line="200" w:lineRule="exact"/>
        <w:ind w:left="720"/>
        <w:rPr>
          <w:b/>
          <w:bCs/>
          <w:sz w:val="24"/>
          <w:szCs w:val="24"/>
        </w:rPr>
      </w:pPr>
    </w:p>
    <w:p w14:paraId="34E1B4B8" w14:textId="77777777" w:rsidR="00D44CB7" w:rsidRPr="00DC2C59" w:rsidRDefault="00DC2C59" w:rsidP="00895024">
      <w:pPr>
        <w:pStyle w:val="Zkladntext"/>
        <w:numPr>
          <w:ilvl w:val="0"/>
          <w:numId w:val="8"/>
        </w:numPr>
        <w:spacing w:before="120" w:line="288" w:lineRule="auto"/>
        <w:ind w:left="714" w:hanging="357"/>
        <w:rPr>
          <w:b/>
          <w:bCs/>
          <w:sz w:val="24"/>
          <w:szCs w:val="24"/>
        </w:rPr>
      </w:pPr>
      <w:r w:rsidRPr="00DC2C59">
        <w:rPr>
          <w:b/>
          <w:bCs/>
          <w:sz w:val="24"/>
          <w:szCs w:val="24"/>
        </w:rPr>
        <w:t xml:space="preserve">Myslíte si, že zavedení elektronické evidence tržeb postupně přispěje ke zlepšení </w:t>
      </w:r>
      <w:r w:rsidRPr="00DC2C59">
        <w:rPr>
          <w:b/>
          <w:bCs/>
          <w:sz w:val="24"/>
          <w:szCs w:val="24"/>
          <w:u w:val="single"/>
        </w:rPr>
        <w:t>výběru</w:t>
      </w:r>
      <w:r w:rsidRPr="00DC2C59">
        <w:rPr>
          <w:b/>
          <w:bCs/>
          <w:sz w:val="24"/>
          <w:szCs w:val="24"/>
        </w:rPr>
        <w:t xml:space="preserve"> daní od obchodníků a poskytovatelů služeb?</w:t>
      </w:r>
    </w:p>
    <w:p w14:paraId="51DEC547" w14:textId="77777777" w:rsidR="00D44CB7" w:rsidRDefault="00D44CB7" w:rsidP="00DC2C59">
      <w:pPr>
        <w:pStyle w:val="Odstavecseseznamem"/>
        <w:spacing w:line="180" w:lineRule="exact"/>
        <w:contextualSpacing w:val="0"/>
        <w:jc w:val="both"/>
        <w:rPr>
          <w:b/>
          <w:bCs/>
          <w:i/>
        </w:rPr>
      </w:pPr>
    </w:p>
    <w:p w14:paraId="6A4324EC" w14:textId="77777777" w:rsidR="00D4112B" w:rsidRDefault="00D4112B" w:rsidP="00895024">
      <w:pPr>
        <w:numPr>
          <w:ilvl w:val="0"/>
          <w:numId w:val="8"/>
        </w:numPr>
        <w:tabs>
          <w:tab w:val="left" w:pos="360"/>
        </w:tabs>
        <w:spacing w:after="60" w:line="312" w:lineRule="auto"/>
        <w:jc w:val="both"/>
        <w:rPr>
          <w:b/>
          <w:bCs/>
          <w:i/>
        </w:rPr>
      </w:pPr>
      <w:r w:rsidRPr="00D4112B">
        <w:rPr>
          <w:b/>
          <w:bCs/>
          <w:i/>
        </w:rPr>
        <w:t xml:space="preserve">Myslíte si, že zavedení elektronické evidence tržeb postupně přispěje k  narovnání </w:t>
      </w:r>
      <w:r w:rsidRPr="00D4112B">
        <w:rPr>
          <w:b/>
          <w:bCs/>
          <w:i/>
          <w:u w:val="single"/>
        </w:rPr>
        <w:t>podnikatelského prostředí</w:t>
      </w:r>
      <w:r w:rsidRPr="00D4112B">
        <w:rPr>
          <w:b/>
          <w:bCs/>
          <w:i/>
        </w:rPr>
        <w:t xml:space="preserve"> v ČR?</w:t>
      </w:r>
    </w:p>
    <w:p w14:paraId="2CEC5817" w14:textId="77777777" w:rsidR="00D4112B" w:rsidRDefault="00D4112B" w:rsidP="00895024">
      <w:pPr>
        <w:pStyle w:val="Odstavecseseznamem"/>
        <w:tabs>
          <w:tab w:val="left" w:pos="360"/>
        </w:tabs>
        <w:spacing w:line="200" w:lineRule="exact"/>
        <w:jc w:val="both"/>
        <w:rPr>
          <w:b/>
          <w:bCs/>
          <w:i/>
        </w:rPr>
      </w:pPr>
    </w:p>
    <w:p w14:paraId="01FC227B" w14:textId="77777777" w:rsidR="00DC2C59" w:rsidRPr="00DC2C59" w:rsidRDefault="00DC2C59" w:rsidP="00895024">
      <w:pPr>
        <w:pStyle w:val="Zkladntext"/>
        <w:numPr>
          <w:ilvl w:val="0"/>
          <w:numId w:val="8"/>
        </w:numPr>
        <w:spacing w:before="120" w:line="288" w:lineRule="auto"/>
        <w:ind w:left="714" w:hanging="357"/>
        <w:rPr>
          <w:b/>
          <w:bCs/>
          <w:sz w:val="24"/>
          <w:szCs w:val="24"/>
        </w:rPr>
      </w:pPr>
      <w:r w:rsidRPr="00DC2C59">
        <w:rPr>
          <w:b/>
          <w:bCs/>
          <w:sz w:val="24"/>
          <w:szCs w:val="24"/>
        </w:rPr>
        <w:t>Má podle Vás zavedení elektronické evidence tržeb nějaká rizika?</w:t>
      </w:r>
    </w:p>
    <w:p w14:paraId="40C37E08" w14:textId="77777777" w:rsidR="00D44CB7" w:rsidRPr="00D44CB7" w:rsidRDefault="00D44CB7" w:rsidP="00DC2C59">
      <w:pPr>
        <w:tabs>
          <w:tab w:val="left" w:pos="360"/>
        </w:tabs>
        <w:spacing w:line="180" w:lineRule="exact"/>
        <w:ind w:left="720"/>
        <w:jc w:val="both"/>
        <w:rPr>
          <w:b/>
          <w:bCs/>
          <w:i/>
        </w:rPr>
      </w:pPr>
    </w:p>
    <w:p w14:paraId="26C6DF56" w14:textId="77777777" w:rsidR="00DC2C59" w:rsidRPr="00DC2C59" w:rsidRDefault="00DC2C59" w:rsidP="00895024">
      <w:pPr>
        <w:pStyle w:val="Zkladntext"/>
        <w:numPr>
          <w:ilvl w:val="0"/>
          <w:numId w:val="8"/>
        </w:numPr>
        <w:spacing w:before="120" w:line="288" w:lineRule="auto"/>
        <w:ind w:left="714" w:hanging="357"/>
        <w:rPr>
          <w:b/>
          <w:bCs/>
          <w:sz w:val="24"/>
          <w:szCs w:val="24"/>
        </w:rPr>
      </w:pPr>
      <w:r w:rsidRPr="00DC2C59">
        <w:rPr>
          <w:b/>
          <w:bCs/>
          <w:sz w:val="24"/>
          <w:szCs w:val="24"/>
        </w:rPr>
        <w:t>Můžete uvést, která rizika to podle Vás jsou?</w:t>
      </w:r>
    </w:p>
    <w:p w14:paraId="3672BC56" w14:textId="77777777" w:rsidR="00D44CB7" w:rsidRDefault="00D44CB7" w:rsidP="00DC2C59">
      <w:pPr>
        <w:tabs>
          <w:tab w:val="left" w:pos="360"/>
        </w:tabs>
        <w:spacing w:line="180" w:lineRule="exact"/>
        <w:ind w:left="720"/>
        <w:jc w:val="both"/>
        <w:rPr>
          <w:b/>
          <w:bCs/>
          <w:i/>
        </w:rPr>
      </w:pPr>
    </w:p>
    <w:p w14:paraId="6AAFFDC4" w14:textId="77777777" w:rsidR="00D4112B" w:rsidRPr="00D4112B" w:rsidRDefault="00D4112B" w:rsidP="00895024">
      <w:pPr>
        <w:pStyle w:val="Zkladntext"/>
        <w:numPr>
          <w:ilvl w:val="0"/>
          <w:numId w:val="8"/>
        </w:numPr>
        <w:spacing w:before="120" w:line="288" w:lineRule="auto"/>
        <w:ind w:left="714" w:hanging="357"/>
        <w:rPr>
          <w:b/>
          <w:bCs/>
          <w:sz w:val="24"/>
          <w:szCs w:val="24"/>
        </w:rPr>
      </w:pPr>
      <w:r w:rsidRPr="00D4112B">
        <w:rPr>
          <w:b/>
          <w:bCs/>
          <w:sz w:val="24"/>
          <w:szCs w:val="24"/>
        </w:rPr>
        <w:t xml:space="preserve">Když </w:t>
      </w:r>
      <w:r w:rsidR="004E55CB">
        <w:rPr>
          <w:b/>
          <w:bCs/>
          <w:sz w:val="24"/>
          <w:szCs w:val="24"/>
        </w:rPr>
        <w:t xml:space="preserve">zvážíte </w:t>
      </w:r>
      <w:r w:rsidRPr="00D4112B">
        <w:rPr>
          <w:b/>
          <w:bCs/>
          <w:sz w:val="24"/>
          <w:szCs w:val="24"/>
        </w:rPr>
        <w:t>všechny okolnosti pro a proti elektronické evidence tržeb, je její zavedení podle Vás:</w:t>
      </w:r>
    </w:p>
    <w:p w14:paraId="7CA72FD3" w14:textId="77777777" w:rsidR="00D4112B" w:rsidRDefault="00D4112B" w:rsidP="00D4112B">
      <w:pPr>
        <w:spacing w:line="288" w:lineRule="auto"/>
        <w:ind w:left="720"/>
      </w:pPr>
      <w:r>
        <w:t>1</w:t>
      </w:r>
      <w:r>
        <w:tab/>
        <w:t xml:space="preserve">Pozitivní opatření </w:t>
      </w:r>
    </w:p>
    <w:p w14:paraId="34E2B9DF" w14:textId="77777777" w:rsidR="00D4112B" w:rsidRDefault="00D4112B" w:rsidP="00D4112B">
      <w:pPr>
        <w:spacing w:line="288" w:lineRule="auto"/>
        <w:ind w:left="720"/>
      </w:pPr>
      <w:r>
        <w:t>2</w:t>
      </w:r>
      <w:r>
        <w:tab/>
        <w:t>Negativní opatření</w:t>
      </w:r>
    </w:p>
    <w:p w14:paraId="7901828A" w14:textId="77777777" w:rsidR="00D4112B" w:rsidRPr="00895024" w:rsidRDefault="00D4112B" w:rsidP="00895024">
      <w:pPr>
        <w:pStyle w:val="Odstavecseseznamem"/>
        <w:tabs>
          <w:tab w:val="left" w:pos="360"/>
        </w:tabs>
        <w:spacing w:line="200" w:lineRule="exact"/>
        <w:jc w:val="both"/>
        <w:rPr>
          <w:b/>
          <w:bCs/>
          <w:i/>
        </w:rPr>
      </w:pPr>
    </w:p>
    <w:p w14:paraId="49F9E2DD" w14:textId="77777777" w:rsidR="00D4112B" w:rsidRPr="00D4112B" w:rsidRDefault="00D4112B" w:rsidP="00895024">
      <w:pPr>
        <w:numPr>
          <w:ilvl w:val="0"/>
          <w:numId w:val="8"/>
        </w:numPr>
        <w:tabs>
          <w:tab w:val="left" w:pos="426"/>
        </w:tabs>
        <w:spacing w:after="60" w:line="312" w:lineRule="auto"/>
        <w:jc w:val="both"/>
        <w:rPr>
          <w:b/>
          <w:bCs/>
          <w:i/>
        </w:rPr>
      </w:pPr>
      <w:r w:rsidRPr="00D4112B">
        <w:rPr>
          <w:b/>
          <w:bCs/>
          <w:i/>
        </w:rPr>
        <w:t xml:space="preserve">Kde jste se Vy osobně o elektronické evidenci tržeb dozvěděl(a) </w:t>
      </w:r>
      <w:r w:rsidRPr="00D4112B">
        <w:rPr>
          <w:b/>
          <w:bCs/>
          <w:i/>
          <w:u w:val="single"/>
        </w:rPr>
        <w:t>nejvíce</w:t>
      </w:r>
      <w:r w:rsidRPr="00D4112B">
        <w:rPr>
          <w:b/>
          <w:bCs/>
          <w:i/>
        </w:rPr>
        <w:t>?</w:t>
      </w:r>
    </w:p>
    <w:p w14:paraId="12812682" w14:textId="77777777" w:rsidR="00D4112B" w:rsidRDefault="00D4112B" w:rsidP="00D4112B">
      <w:pPr>
        <w:spacing w:line="288" w:lineRule="auto"/>
        <w:ind w:left="720"/>
      </w:pPr>
      <w:r>
        <w:t>1</w:t>
      </w:r>
      <w:r>
        <w:tab/>
      </w:r>
      <w:r>
        <w:rPr>
          <w:sz w:val="25"/>
          <w:szCs w:val="25"/>
        </w:rPr>
        <w:t>Ve zpravodajství v tisku či televizi</w:t>
      </w:r>
    </w:p>
    <w:p w14:paraId="7FAF041E" w14:textId="77777777" w:rsidR="00D4112B" w:rsidRDefault="00D4112B" w:rsidP="00D4112B">
      <w:pPr>
        <w:tabs>
          <w:tab w:val="left" w:pos="360"/>
        </w:tabs>
        <w:spacing w:line="288" w:lineRule="auto"/>
        <w:ind w:left="720"/>
        <w:rPr>
          <w:sz w:val="25"/>
          <w:szCs w:val="25"/>
        </w:rPr>
      </w:pPr>
      <w:r>
        <w:t>2</w:t>
      </w:r>
      <w:r>
        <w:tab/>
      </w:r>
      <w:r>
        <w:rPr>
          <w:sz w:val="25"/>
          <w:szCs w:val="25"/>
        </w:rPr>
        <w:t>Ve zpravodajství na internetu</w:t>
      </w:r>
    </w:p>
    <w:p w14:paraId="783DEA42" w14:textId="77777777" w:rsidR="00D4112B" w:rsidRDefault="00D4112B" w:rsidP="00D4112B">
      <w:pPr>
        <w:spacing w:line="288" w:lineRule="auto"/>
        <w:ind w:left="720"/>
      </w:pPr>
      <w:r>
        <w:rPr>
          <w:sz w:val="25"/>
          <w:szCs w:val="25"/>
        </w:rPr>
        <w:t>3</w:t>
      </w:r>
      <w:r>
        <w:rPr>
          <w:sz w:val="25"/>
          <w:szCs w:val="25"/>
        </w:rPr>
        <w:tab/>
        <w:t>Z politické diskuse v médiích</w:t>
      </w:r>
    </w:p>
    <w:p w14:paraId="7A50CD73" w14:textId="77777777" w:rsidR="00D4112B" w:rsidRPr="00D4112B" w:rsidRDefault="00D4112B" w:rsidP="00D4112B">
      <w:pPr>
        <w:tabs>
          <w:tab w:val="left" w:pos="360"/>
        </w:tabs>
        <w:spacing w:line="288" w:lineRule="auto"/>
        <w:ind w:left="720"/>
        <w:rPr>
          <w:sz w:val="25"/>
          <w:szCs w:val="25"/>
        </w:rPr>
      </w:pPr>
      <w:r w:rsidRPr="00D4112B">
        <w:rPr>
          <w:sz w:val="25"/>
          <w:szCs w:val="25"/>
        </w:rPr>
        <w:t>4</w:t>
      </w:r>
      <w:r w:rsidRPr="00D4112B">
        <w:rPr>
          <w:sz w:val="25"/>
          <w:szCs w:val="25"/>
        </w:rPr>
        <w:tab/>
        <w:t>Od přátel, známých</w:t>
      </w:r>
    </w:p>
    <w:p w14:paraId="08E6AF24" w14:textId="77777777" w:rsidR="00D4112B" w:rsidRPr="00D4112B" w:rsidRDefault="00D4112B" w:rsidP="00D4112B">
      <w:pPr>
        <w:tabs>
          <w:tab w:val="left" w:pos="360"/>
        </w:tabs>
        <w:spacing w:line="288" w:lineRule="auto"/>
        <w:ind w:left="720"/>
        <w:rPr>
          <w:sz w:val="25"/>
          <w:szCs w:val="25"/>
        </w:rPr>
      </w:pPr>
      <w:r w:rsidRPr="00D4112B">
        <w:rPr>
          <w:sz w:val="25"/>
          <w:szCs w:val="25"/>
        </w:rPr>
        <w:t>5</w:t>
      </w:r>
      <w:r w:rsidRPr="00D4112B">
        <w:rPr>
          <w:sz w:val="25"/>
          <w:szCs w:val="25"/>
        </w:rPr>
        <w:tab/>
        <w:t>Jinde</w:t>
      </w:r>
    </w:p>
    <w:p w14:paraId="14D99D05" w14:textId="77777777" w:rsidR="00D4112B" w:rsidRDefault="00D4112B" w:rsidP="00D4112B"/>
    <w:p w14:paraId="7B699158" w14:textId="77777777" w:rsidR="00D4112B" w:rsidRPr="00D4112B" w:rsidRDefault="00D4112B" w:rsidP="00895024">
      <w:pPr>
        <w:numPr>
          <w:ilvl w:val="0"/>
          <w:numId w:val="8"/>
        </w:numPr>
        <w:tabs>
          <w:tab w:val="num" w:pos="0"/>
          <w:tab w:val="left" w:pos="426"/>
        </w:tabs>
        <w:spacing w:after="60" w:line="312" w:lineRule="auto"/>
        <w:jc w:val="both"/>
        <w:rPr>
          <w:b/>
          <w:bCs/>
          <w:i/>
        </w:rPr>
      </w:pPr>
      <w:r w:rsidRPr="00D4112B">
        <w:rPr>
          <w:b/>
          <w:bCs/>
          <w:i/>
        </w:rPr>
        <w:t>Řekl(a) byste, že o elektronické evidenci tržeb:</w:t>
      </w:r>
    </w:p>
    <w:p w14:paraId="1BF9D694" w14:textId="77777777" w:rsidR="00D4112B" w:rsidRDefault="00D4112B" w:rsidP="00D4112B">
      <w:pPr>
        <w:spacing w:line="288" w:lineRule="auto"/>
        <w:ind w:left="720"/>
      </w:pPr>
      <w:r>
        <w:t>1</w:t>
      </w:r>
      <w:r>
        <w:tab/>
      </w:r>
      <w:r>
        <w:rPr>
          <w:sz w:val="25"/>
          <w:szCs w:val="25"/>
        </w:rPr>
        <w:t>Víte vše, co potřebujete vědět</w:t>
      </w:r>
    </w:p>
    <w:p w14:paraId="5AA9BE1C" w14:textId="77777777" w:rsidR="00D4112B" w:rsidRDefault="00D4112B" w:rsidP="00D4112B">
      <w:pPr>
        <w:tabs>
          <w:tab w:val="left" w:pos="360"/>
        </w:tabs>
        <w:spacing w:line="288" w:lineRule="auto"/>
        <w:ind w:left="720"/>
        <w:rPr>
          <w:sz w:val="25"/>
          <w:szCs w:val="25"/>
        </w:rPr>
      </w:pPr>
      <w:r>
        <w:t>2</w:t>
      </w:r>
      <w:r>
        <w:tab/>
      </w:r>
      <w:r>
        <w:rPr>
          <w:sz w:val="25"/>
          <w:szCs w:val="25"/>
        </w:rPr>
        <w:t>Chtěl(a) byste vědět více</w:t>
      </w:r>
    </w:p>
    <w:p w14:paraId="3CEF29EA" w14:textId="77777777" w:rsidR="00D4112B" w:rsidRDefault="00D4112B" w:rsidP="00D4112B">
      <w:pPr>
        <w:spacing w:line="288" w:lineRule="auto"/>
        <w:ind w:left="720"/>
      </w:pPr>
      <w:r>
        <w:rPr>
          <w:sz w:val="25"/>
          <w:szCs w:val="25"/>
        </w:rPr>
        <w:t>3</w:t>
      </w:r>
      <w:r>
        <w:rPr>
          <w:sz w:val="25"/>
          <w:szCs w:val="25"/>
        </w:rPr>
        <w:tab/>
        <w:t>Téma Vás vůbec nezajímá</w:t>
      </w:r>
    </w:p>
    <w:p w14:paraId="3E27C582" w14:textId="77777777" w:rsidR="00D4112B" w:rsidRDefault="00D4112B" w:rsidP="00D4112B">
      <w:pPr>
        <w:pStyle w:val="Odstavecseseznamem"/>
        <w:rPr>
          <w:b/>
          <w:bCs/>
        </w:rPr>
      </w:pPr>
    </w:p>
    <w:p w14:paraId="16D0DB5B" w14:textId="77777777" w:rsidR="00D4112B" w:rsidRDefault="00D4112B" w:rsidP="00895024">
      <w:pPr>
        <w:numPr>
          <w:ilvl w:val="0"/>
          <w:numId w:val="8"/>
        </w:numPr>
        <w:tabs>
          <w:tab w:val="num" w:pos="0"/>
          <w:tab w:val="left" w:pos="426"/>
        </w:tabs>
        <w:spacing w:after="60" w:line="312" w:lineRule="auto"/>
        <w:jc w:val="both"/>
        <w:rPr>
          <w:b/>
          <w:bCs/>
          <w:i/>
        </w:rPr>
      </w:pPr>
      <w:r w:rsidRPr="00D4112B">
        <w:rPr>
          <w:b/>
          <w:bCs/>
          <w:i/>
        </w:rPr>
        <w:t>Víte, kde případně další informace o elektronické evidenci tržeb hledat?</w:t>
      </w:r>
    </w:p>
    <w:p w14:paraId="657BDE57" w14:textId="77777777" w:rsidR="00D4112B" w:rsidRDefault="00D4112B" w:rsidP="00D4112B">
      <w:pPr>
        <w:spacing w:line="288" w:lineRule="auto"/>
        <w:ind w:left="720"/>
      </w:pPr>
      <w:r>
        <w:t>1</w:t>
      </w:r>
      <w:r>
        <w:tab/>
      </w:r>
      <w:r>
        <w:rPr>
          <w:sz w:val="25"/>
          <w:szCs w:val="25"/>
        </w:rPr>
        <w:t>Ano</w:t>
      </w:r>
    </w:p>
    <w:p w14:paraId="5C0D96DB" w14:textId="77777777" w:rsidR="00D4112B" w:rsidRDefault="00D4112B" w:rsidP="00D4112B">
      <w:pPr>
        <w:tabs>
          <w:tab w:val="left" w:pos="360"/>
        </w:tabs>
        <w:spacing w:line="288" w:lineRule="auto"/>
        <w:ind w:left="720"/>
        <w:rPr>
          <w:sz w:val="25"/>
          <w:szCs w:val="25"/>
        </w:rPr>
      </w:pPr>
      <w:r>
        <w:t>2</w:t>
      </w:r>
      <w:r>
        <w:tab/>
        <w:t>Ne</w:t>
      </w:r>
    </w:p>
    <w:p w14:paraId="106134F1" w14:textId="77777777" w:rsidR="00D4112B" w:rsidRDefault="00D4112B" w:rsidP="00D4112B">
      <w:pPr>
        <w:spacing w:line="288" w:lineRule="auto"/>
        <w:ind w:left="720"/>
      </w:pPr>
      <w:r>
        <w:rPr>
          <w:sz w:val="25"/>
          <w:szCs w:val="25"/>
        </w:rPr>
        <w:t>3</w:t>
      </w:r>
      <w:r>
        <w:rPr>
          <w:sz w:val="25"/>
          <w:szCs w:val="25"/>
        </w:rPr>
        <w:tab/>
        <w:t xml:space="preserve">Nezajímá mne to </w:t>
      </w:r>
    </w:p>
    <w:p w14:paraId="7C38ABCF" w14:textId="77777777" w:rsidR="00D4112B" w:rsidRPr="00D4112B" w:rsidRDefault="00D4112B" w:rsidP="00895024">
      <w:pPr>
        <w:pStyle w:val="Odstavecseseznamem"/>
        <w:tabs>
          <w:tab w:val="left" w:pos="360"/>
        </w:tabs>
        <w:spacing w:line="200" w:lineRule="exact"/>
        <w:jc w:val="both"/>
        <w:rPr>
          <w:b/>
          <w:bCs/>
          <w:i/>
        </w:rPr>
      </w:pPr>
    </w:p>
    <w:p w14:paraId="25240F20" w14:textId="77777777" w:rsidR="00DC2C59" w:rsidRPr="00D4112B" w:rsidRDefault="00D4112B" w:rsidP="00895024">
      <w:pPr>
        <w:numPr>
          <w:ilvl w:val="0"/>
          <w:numId w:val="8"/>
        </w:numPr>
        <w:tabs>
          <w:tab w:val="num" w:pos="0"/>
          <w:tab w:val="left" w:pos="426"/>
        </w:tabs>
        <w:spacing w:after="60" w:line="312" w:lineRule="auto"/>
        <w:jc w:val="both"/>
        <w:rPr>
          <w:b/>
          <w:bCs/>
          <w:i/>
        </w:rPr>
      </w:pPr>
      <w:r w:rsidRPr="00D4112B">
        <w:rPr>
          <w:b/>
          <w:bCs/>
          <w:i/>
        </w:rPr>
        <w:t>Vyžadujete Vy osobně v současnosti při placení běžných nákupů např. v potravinách, trafice či v restauraci účtenku?</w:t>
      </w:r>
    </w:p>
    <w:p w14:paraId="7364F9E4" w14:textId="77777777" w:rsidR="00D4112B" w:rsidRDefault="00D4112B" w:rsidP="00D4112B">
      <w:pPr>
        <w:spacing w:line="288" w:lineRule="auto"/>
        <w:ind w:left="720"/>
      </w:pPr>
      <w:r>
        <w:t>1</w:t>
      </w:r>
      <w:r>
        <w:tab/>
      </w:r>
      <w:r>
        <w:rPr>
          <w:sz w:val="25"/>
          <w:szCs w:val="25"/>
        </w:rPr>
        <w:t>Ano, vždy</w:t>
      </w:r>
    </w:p>
    <w:p w14:paraId="03D393AC" w14:textId="77777777" w:rsidR="00D4112B" w:rsidRDefault="00D4112B" w:rsidP="00D4112B">
      <w:pPr>
        <w:tabs>
          <w:tab w:val="left" w:pos="360"/>
        </w:tabs>
        <w:spacing w:line="288" w:lineRule="auto"/>
        <w:ind w:left="720"/>
        <w:rPr>
          <w:sz w:val="25"/>
          <w:szCs w:val="25"/>
        </w:rPr>
      </w:pPr>
      <w:r>
        <w:t>2</w:t>
      </w:r>
      <w:r>
        <w:tab/>
      </w:r>
      <w:r>
        <w:rPr>
          <w:sz w:val="25"/>
          <w:szCs w:val="25"/>
        </w:rPr>
        <w:t>Většinou ano</w:t>
      </w:r>
    </w:p>
    <w:p w14:paraId="66D4DA11" w14:textId="77777777" w:rsidR="00D4112B" w:rsidRDefault="00D4112B" w:rsidP="00D4112B">
      <w:pPr>
        <w:spacing w:line="288" w:lineRule="auto"/>
        <w:ind w:left="720"/>
      </w:pPr>
      <w:r>
        <w:rPr>
          <w:sz w:val="25"/>
          <w:szCs w:val="25"/>
        </w:rPr>
        <w:t>3</w:t>
      </w:r>
      <w:r>
        <w:rPr>
          <w:sz w:val="25"/>
          <w:szCs w:val="25"/>
        </w:rPr>
        <w:tab/>
        <w:t>Většinou ne</w:t>
      </w:r>
    </w:p>
    <w:p w14:paraId="0EBE9AF1" w14:textId="77777777" w:rsidR="00D4112B" w:rsidRPr="00D4112B" w:rsidRDefault="00D4112B" w:rsidP="00D4112B">
      <w:pPr>
        <w:tabs>
          <w:tab w:val="left" w:pos="360"/>
        </w:tabs>
        <w:spacing w:line="288" w:lineRule="auto"/>
        <w:ind w:left="720"/>
        <w:rPr>
          <w:sz w:val="25"/>
          <w:szCs w:val="25"/>
        </w:rPr>
      </w:pPr>
      <w:r w:rsidRPr="00D4112B">
        <w:rPr>
          <w:sz w:val="25"/>
          <w:szCs w:val="25"/>
        </w:rPr>
        <w:t>4</w:t>
      </w:r>
      <w:r w:rsidRPr="00D4112B">
        <w:rPr>
          <w:sz w:val="25"/>
          <w:szCs w:val="25"/>
        </w:rPr>
        <w:tab/>
      </w:r>
      <w:r>
        <w:rPr>
          <w:sz w:val="25"/>
          <w:szCs w:val="25"/>
        </w:rPr>
        <w:t>Vůbec ne</w:t>
      </w:r>
    </w:p>
    <w:p w14:paraId="414ABE15" w14:textId="77777777" w:rsidR="00D4112B" w:rsidRDefault="00D4112B" w:rsidP="00895024">
      <w:pPr>
        <w:pStyle w:val="Odstavecseseznamem"/>
        <w:tabs>
          <w:tab w:val="left" w:pos="360"/>
        </w:tabs>
        <w:spacing w:line="200" w:lineRule="exact"/>
        <w:jc w:val="both"/>
        <w:rPr>
          <w:b/>
          <w:bCs/>
          <w:i/>
        </w:rPr>
      </w:pPr>
    </w:p>
    <w:p w14:paraId="6B6AFDBF" w14:textId="77777777" w:rsidR="00895024" w:rsidRPr="00895024" w:rsidRDefault="00895024" w:rsidP="00895024">
      <w:pPr>
        <w:numPr>
          <w:ilvl w:val="0"/>
          <w:numId w:val="8"/>
        </w:numPr>
        <w:tabs>
          <w:tab w:val="num" w:pos="0"/>
          <w:tab w:val="left" w:pos="426"/>
        </w:tabs>
        <w:spacing w:after="60" w:line="312" w:lineRule="auto"/>
        <w:jc w:val="both"/>
        <w:rPr>
          <w:b/>
          <w:bCs/>
          <w:i/>
        </w:rPr>
      </w:pPr>
      <w:r w:rsidRPr="00895024">
        <w:rPr>
          <w:b/>
          <w:bCs/>
          <w:i/>
        </w:rPr>
        <w:t xml:space="preserve">A budete Vy osobně požadovat při placení běžných nákupů např. v potravinách, trafice či v restauraci účtenku </w:t>
      </w:r>
      <w:r w:rsidRPr="00895024">
        <w:rPr>
          <w:b/>
          <w:bCs/>
          <w:i/>
          <w:u w:val="single"/>
        </w:rPr>
        <w:t>po zavedení elektronické evidence tržeb</w:t>
      </w:r>
      <w:r w:rsidRPr="00895024">
        <w:rPr>
          <w:b/>
          <w:bCs/>
          <w:i/>
        </w:rPr>
        <w:t>?</w:t>
      </w:r>
    </w:p>
    <w:p w14:paraId="02958B97" w14:textId="77777777" w:rsidR="00D4112B" w:rsidRDefault="00D4112B" w:rsidP="00895024">
      <w:pPr>
        <w:pStyle w:val="Odstavecseseznamem"/>
        <w:tabs>
          <w:tab w:val="left" w:pos="360"/>
        </w:tabs>
        <w:spacing w:line="200" w:lineRule="exact"/>
        <w:jc w:val="both"/>
        <w:rPr>
          <w:b/>
          <w:bCs/>
          <w:i/>
        </w:rPr>
      </w:pPr>
    </w:p>
    <w:p w14:paraId="3E18D56E" w14:textId="77777777" w:rsidR="00895024" w:rsidRPr="00895024" w:rsidRDefault="00895024" w:rsidP="00895024">
      <w:pPr>
        <w:numPr>
          <w:ilvl w:val="0"/>
          <w:numId w:val="8"/>
        </w:numPr>
        <w:tabs>
          <w:tab w:val="num" w:pos="0"/>
          <w:tab w:val="left" w:pos="426"/>
        </w:tabs>
        <w:spacing w:after="60" w:line="312" w:lineRule="auto"/>
        <w:jc w:val="both"/>
        <w:rPr>
          <w:b/>
          <w:bCs/>
          <w:i/>
        </w:rPr>
      </w:pPr>
      <w:r w:rsidRPr="00895024">
        <w:rPr>
          <w:b/>
          <w:bCs/>
          <w:i/>
        </w:rPr>
        <w:t>Zvýšilo by Vaši motivaci požadovat při placení účtenku, pokud by byla tato účtenka slosovatelná o finanční nebo věcné výhry?</w:t>
      </w:r>
    </w:p>
    <w:p w14:paraId="59C0B1EE" w14:textId="77777777" w:rsidR="00D4112B" w:rsidRDefault="00D4112B" w:rsidP="00DC2C59">
      <w:pPr>
        <w:tabs>
          <w:tab w:val="left" w:pos="360"/>
        </w:tabs>
        <w:spacing w:line="180" w:lineRule="exact"/>
        <w:ind w:left="720"/>
        <w:jc w:val="both"/>
        <w:rPr>
          <w:b/>
          <w:bCs/>
          <w:i/>
        </w:rPr>
      </w:pPr>
    </w:p>
    <w:p w14:paraId="5076E78E" w14:textId="77777777" w:rsidR="00895024" w:rsidRDefault="00895024" w:rsidP="00895024">
      <w:pPr>
        <w:numPr>
          <w:ilvl w:val="0"/>
          <w:numId w:val="8"/>
        </w:numPr>
        <w:tabs>
          <w:tab w:val="num" w:pos="0"/>
          <w:tab w:val="left" w:pos="426"/>
        </w:tabs>
        <w:spacing w:after="60" w:line="312" w:lineRule="auto"/>
        <w:jc w:val="both"/>
        <w:rPr>
          <w:b/>
          <w:bCs/>
          <w:i/>
        </w:rPr>
      </w:pPr>
      <w:r w:rsidRPr="00895024">
        <w:rPr>
          <w:b/>
          <w:bCs/>
          <w:i/>
        </w:rPr>
        <w:t>Přijímáte Vy nebo někdo z okruhu Vaší rodiny hotovostní tržby z podnikání?</w:t>
      </w:r>
    </w:p>
    <w:p w14:paraId="7C9E023B" w14:textId="77777777" w:rsidR="00895024" w:rsidRDefault="00895024" w:rsidP="00895024">
      <w:pPr>
        <w:spacing w:line="288" w:lineRule="auto"/>
        <w:ind w:left="720"/>
      </w:pPr>
      <w:r>
        <w:t>1</w:t>
      </w:r>
      <w:r>
        <w:tab/>
      </w:r>
      <w:r>
        <w:rPr>
          <w:sz w:val="25"/>
          <w:szCs w:val="25"/>
        </w:rPr>
        <w:t>Ano</w:t>
      </w:r>
    </w:p>
    <w:p w14:paraId="54C894DB" w14:textId="77777777" w:rsidR="00895024" w:rsidRDefault="00895024" w:rsidP="00895024">
      <w:pPr>
        <w:tabs>
          <w:tab w:val="left" w:pos="360"/>
        </w:tabs>
        <w:spacing w:line="288" w:lineRule="auto"/>
        <w:ind w:left="720"/>
        <w:rPr>
          <w:sz w:val="25"/>
          <w:szCs w:val="25"/>
        </w:rPr>
      </w:pPr>
      <w:r>
        <w:t>2</w:t>
      </w:r>
      <w:r>
        <w:tab/>
        <w:t>Ne</w:t>
      </w:r>
    </w:p>
    <w:p w14:paraId="2E03867A" w14:textId="77777777" w:rsidR="00895024" w:rsidRDefault="00895024" w:rsidP="00895024">
      <w:pPr>
        <w:spacing w:line="288" w:lineRule="auto"/>
        <w:ind w:left="720"/>
      </w:pPr>
      <w:r>
        <w:rPr>
          <w:sz w:val="25"/>
          <w:szCs w:val="25"/>
        </w:rPr>
        <w:t>3</w:t>
      </w:r>
      <w:r>
        <w:rPr>
          <w:sz w:val="25"/>
          <w:szCs w:val="25"/>
        </w:rPr>
        <w:tab/>
        <w:t>Nevím</w:t>
      </w:r>
    </w:p>
    <w:p w14:paraId="584AC5E5" w14:textId="77777777" w:rsidR="00895024" w:rsidRPr="00D4112B" w:rsidRDefault="00895024" w:rsidP="00895024">
      <w:pPr>
        <w:tabs>
          <w:tab w:val="left" w:pos="426"/>
        </w:tabs>
        <w:spacing w:after="60" w:line="312" w:lineRule="auto"/>
        <w:ind w:left="720"/>
        <w:jc w:val="both"/>
        <w:rPr>
          <w:b/>
          <w:bCs/>
          <w:i/>
        </w:rPr>
      </w:pPr>
    </w:p>
    <w:p w14:paraId="4796B849" w14:textId="77777777" w:rsidR="00D4112B" w:rsidRDefault="00D4112B" w:rsidP="00DC2C59">
      <w:pPr>
        <w:tabs>
          <w:tab w:val="left" w:pos="360"/>
        </w:tabs>
        <w:spacing w:line="180" w:lineRule="exact"/>
        <w:ind w:left="720"/>
        <w:jc w:val="both"/>
        <w:rPr>
          <w:b/>
          <w:bCs/>
          <w:i/>
        </w:rPr>
      </w:pPr>
    </w:p>
    <w:p w14:paraId="7C28970B" w14:textId="77777777" w:rsidR="00DA5E89" w:rsidRDefault="00DA5E89" w:rsidP="00DA5E89">
      <w:pPr>
        <w:pStyle w:val="Odstavecseseznamem"/>
        <w:rPr>
          <w:b/>
          <w:bCs/>
        </w:rPr>
      </w:pPr>
    </w:p>
    <w:p w14:paraId="3C37689F" w14:textId="77777777" w:rsidR="00424BAF" w:rsidRPr="00B53C37" w:rsidRDefault="00DA5E89">
      <w:pPr>
        <w:pStyle w:val="Zkladntext"/>
        <w:spacing w:before="60" w:line="288" w:lineRule="auto"/>
        <w:rPr>
          <w:b/>
          <w:i w:val="0"/>
          <w:sz w:val="32"/>
          <w:szCs w:val="32"/>
          <w:u w:val="single"/>
        </w:rPr>
      </w:pPr>
      <w:r>
        <w:rPr>
          <w:b/>
          <w:i w:val="0"/>
          <w:sz w:val="32"/>
          <w:szCs w:val="32"/>
          <w:u w:val="single"/>
        </w:rPr>
        <w:br w:type="page"/>
      </w:r>
      <w:r w:rsidR="00424BAF" w:rsidRPr="00B53C37">
        <w:rPr>
          <w:b/>
          <w:i w:val="0"/>
          <w:sz w:val="32"/>
          <w:szCs w:val="32"/>
          <w:u w:val="single"/>
        </w:rPr>
        <w:t>Hlavní zjištění průzkumu:</w:t>
      </w:r>
    </w:p>
    <w:p w14:paraId="34B57DB2" w14:textId="77777777" w:rsidR="006331BF" w:rsidRDefault="006331BF">
      <w:pPr>
        <w:pStyle w:val="Zkladntext"/>
        <w:spacing w:before="60" w:line="288" w:lineRule="auto"/>
        <w:rPr>
          <w:b/>
          <w:i w:val="0"/>
          <w:szCs w:val="28"/>
        </w:rPr>
      </w:pPr>
    </w:p>
    <w:p w14:paraId="31A3D8A7" w14:textId="77777777" w:rsidR="0007136D" w:rsidRPr="00A85EA9" w:rsidRDefault="00507D52" w:rsidP="00A314FC">
      <w:pPr>
        <w:pStyle w:val="Zkladntext"/>
        <w:numPr>
          <w:ilvl w:val="0"/>
          <w:numId w:val="6"/>
        </w:numPr>
        <w:shd w:val="clear" w:color="auto" w:fill="FDE9D9"/>
        <w:spacing w:after="240" w:line="288" w:lineRule="auto"/>
        <w:ind w:left="908" w:hanging="454"/>
        <w:rPr>
          <w:b/>
          <w:i w:val="0"/>
          <w:szCs w:val="28"/>
        </w:rPr>
      </w:pPr>
      <w:r w:rsidRPr="00507D52">
        <w:rPr>
          <w:b/>
          <w:i w:val="0"/>
          <w:szCs w:val="28"/>
        </w:rPr>
        <w:t>Téměř polovina veřejnosti považuje daňovou morálku obchodníků, prodejců zboží a služeb v České republice za dobrou. Tento podíl je mírně vyšší než před rokem</w:t>
      </w:r>
      <w:r>
        <w:rPr>
          <w:b/>
          <w:i w:val="0"/>
          <w:szCs w:val="28"/>
        </w:rPr>
        <w:t xml:space="preserve"> (o 9 procentních bodů)</w:t>
      </w:r>
      <w:r w:rsidRPr="00507D52">
        <w:rPr>
          <w:b/>
          <w:i w:val="0"/>
          <w:szCs w:val="28"/>
        </w:rPr>
        <w:t>.</w:t>
      </w:r>
    </w:p>
    <w:p w14:paraId="75BB40FA" w14:textId="77777777" w:rsidR="00A85EA9" w:rsidRPr="00A85EA9" w:rsidRDefault="00EA5E6E" w:rsidP="00A314FC">
      <w:pPr>
        <w:pStyle w:val="Zkladntext"/>
        <w:numPr>
          <w:ilvl w:val="0"/>
          <w:numId w:val="6"/>
        </w:numPr>
        <w:shd w:val="clear" w:color="auto" w:fill="FDE9D9"/>
        <w:spacing w:after="240" w:line="288" w:lineRule="auto"/>
        <w:ind w:left="908" w:hanging="454"/>
        <w:rPr>
          <w:b/>
          <w:i w:val="0"/>
          <w:szCs w:val="28"/>
        </w:rPr>
      </w:pPr>
      <w:r w:rsidRPr="00EA5E6E">
        <w:rPr>
          <w:b/>
          <w:i w:val="0"/>
          <w:szCs w:val="28"/>
        </w:rPr>
        <w:t>Podle jasné většiny občanů stát hledá cesty k vyššímu výběru daní od obchodníků a prodejců.</w:t>
      </w:r>
    </w:p>
    <w:p w14:paraId="2BB8AD82" w14:textId="1F4C29EC" w:rsidR="00A85EA9" w:rsidRPr="00A85EA9" w:rsidRDefault="00EA5E6E" w:rsidP="00A314FC">
      <w:pPr>
        <w:pStyle w:val="Zkladntext"/>
        <w:numPr>
          <w:ilvl w:val="0"/>
          <w:numId w:val="6"/>
        </w:numPr>
        <w:shd w:val="clear" w:color="auto" w:fill="FDE9D9"/>
        <w:spacing w:after="240" w:line="288" w:lineRule="auto"/>
        <w:ind w:left="908" w:hanging="454"/>
        <w:rPr>
          <w:b/>
          <w:i w:val="0"/>
          <w:szCs w:val="28"/>
        </w:rPr>
      </w:pPr>
      <w:r w:rsidRPr="00EA5E6E">
        <w:rPr>
          <w:b/>
          <w:i w:val="0"/>
          <w:szCs w:val="28"/>
        </w:rPr>
        <w:t xml:space="preserve">Znalost slovního spojení „elektronická evidence tržeb“ se </w:t>
      </w:r>
      <w:r w:rsidR="00A314FC">
        <w:rPr>
          <w:b/>
          <w:i w:val="0"/>
          <w:szCs w:val="28"/>
          <w:lang w:val="cs-CZ"/>
        </w:rPr>
        <w:br/>
      </w:r>
      <w:r w:rsidRPr="00EA5E6E">
        <w:rPr>
          <w:b/>
          <w:i w:val="0"/>
          <w:szCs w:val="28"/>
        </w:rPr>
        <w:t>od loňského roku zvýšila, nyní již o něm slyšela téměř absolutní většina občanů.</w:t>
      </w:r>
    </w:p>
    <w:p w14:paraId="66E52346" w14:textId="3CA5C819" w:rsidR="00A85EA9" w:rsidRPr="00A85EA9" w:rsidRDefault="00EA5E6E" w:rsidP="00A314FC">
      <w:pPr>
        <w:pStyle w:val="Zkladntext"/>
        <w:numPr>
          <w:ilvl w:val="0"/>
          <w:numId w:val="6"/>
        </w:numPr>
        <w:shd w:val="clear" w:color="auto" w:fill="FDE9D9"/>
        <w:spacing w:after="240" w:line="288" w:lineRule="auto"/>
        <w:ind w:left="908" w:hanging="454"/>
        <w:rPr>
          <w:b/>
          <w:i w:val="0"/>
          <w:szCs w:val="28"/>
        </w:rPr>
      </w:pPr>
      <w:r w:rsidRPr="00EA5E6E">
        <w:rPr>
          <w:b/>
          <w:i w:val="0"/>
          <w:szCs w:val="28"/>
        </w:rPr>
        <w:t xml:space="preserve">Třípětinová většina dotázaných se domnívá, že zavedení elektronické evidence tržeb přispěje ke zvýšení důvěry zákazníků. Tento podíl je </w:t>
      </w:r>
      <w:r>
        <w:rPr>
          <w:b/>
          <w:i w:val="0"/>
          <w:szCs w:val="28"/>
          <w:lang w:val="cs-CZ"/>
        </w:rPr>
        <w:t xml:space="preserve">o 6 procentních bodů </w:t>
      </w:r>
      <w:r w:rsidRPr="00EA5E6E">
        <w:rPr>
          <w:b/>
          <w:i w:val="0"/>
          <w:szCs w:val="28"/>
        </w:rPr>
        <w:t>nižší než vloni.</w:t>
      </w:r>
    </w:p>
    <w:p w14:paraId="7F872678" w14:textId="77777777" w:rsidR="00A85EA9" w:rsidRPr="00A85EA9" w:rsidRDefault="009C1521" w:rsidP="00A314FC">
      <w:pPr>
        <w:pStyle w:val="Zkladntext"/>
        <w:numPr>
          <w:ilvl w:val="0"/>
          <w:numId w:val="6"/>
        </w:numPr>
        <w:shd w:val="clear" w:color="auto" w:fill="FDE9D9"/>
        <w:spacing w:after="240" w:line="288" w:lineRule="auto"/>
        <w:ind w:left="908" w:hanging="454"/>
        <w:rPr>
          <w:b/>
          <w:i w:val="0"/>
          <w:szCs w:val="28"/>
        </w:rPr>
      </w:pPr>
      <w:r w:rsidRPr="009C1521">
        <w:rPr>
          <w:b/>
          <w:i w:val="0"/>
          <w:szCs w:val="28"/>
        </w:rPr>
        <w:t>Dvoutřetinová většina lidí si myslí, že elektronická evidence tržeb zlepší výběr daní od obchodníků a poskytovatelů služeb. Oproti roku 2015 je uvedený podíl nižší o 7 procentních bodů.</w:t>
      </w:r>
    </w:p>
    <w:p w14:paraId="7EDBB4F6" w14:textId="77777777" w:rsidR="00A85EA9" w:rsidRPr="00A85EA9" w:rsidRDefault="009C1521" w:rsidP="00A314FC">
      <w:pPr>
        <w:pStyle w:val="Zkladntext"/>
        <w:numPr>
          <w:ilvl w:val="0"/>
          <w:numId w:val="6"/>
        </w:numPr>
        <w:shd w:val="clear" w:color="auto" w:fill="FDE9D9"/>
        <w:spacing w:after="240" w:line="288" w:lineRule="auto"/>
        <w:ind w:left="908" w:hanging="454"/>
        <w:rPr>
          <w:b/>
          <w:i w:val="0"/>
          <w:szCs w:val="28"/>
        </w:rPr>
      </w:pPr>
      <w:r w:rsidRPr="009C1521">
        <w:rPr>
          <w:b/>
          <w:i w:val="0"/>
          <w:szCs w:val="28"/>
        </w:rPr>
        <w:t>Názor veřejnosti na vliv elektronické evidence tržeb na narovnání podnikatelského prostředí v naší zemi není jednoznačný.</w:t>
      </w:r>
      <w:r w:rsidR="00A85EA9" w:rsidRPr="00A85EA9">
        <w:rPr>
          <w:b/>
          <w:i w:val="0"/>
          <w:szCs w:val="28"/>
        </w:rPr>
        <w:t xml:space="preserve"> </w:t>
      </w:r>
    </w:p>
    <w:p w14:paraId="4DBA4CCF" w14:textId="77777777" w:rsidR="00A85EA9" w:rsidRPr="00A85EA9" w:rsidRDefault="009C1521" w:rsidP="00A314FC">
      <w:pPr>
        <w:pStyle w:val="Zkladntext"/>
        <w:numPr>
          <w:ilvl w:val="0"/>
          <w:numId w:val="6"/>
        </w:numPr>
        <w:shd w:val="clear" w:color="auto" w:fill="FDE9D9"/>
        <w:spacing w:after="240" w:line="288" w:lineRule="auto"/>
        <w:ind w:left="908" w:hanging="454"/>
        <w:rPr>
          <w:b/>
          <w:i w:val="0"/>
          <w:szCs w:val="28"/>
        </w:rPr>
      </w:pPr>
      <w:r w:rsidRPr="009C1521">
        <w:rPr>
          <w:b/>
          <w:i w:val="0"/>
          <w:szCs w:val="28"/>
        </w:rPr>
        <w:t>Podle více než třípětinové většiny dotázaných občanů má zavedení elektronické evidence tržeb určitá rizika. Tento podíl je téměř stejný jako v</w:t>
      </w:r>
      <w:r>
        <w:rPr>
          <w:b/>
          <w:i w:val="0"/>
          <w:szCs w:val="28"/>
          <w:lang w:val="cs-CZ"/>
        </w:rPr>
        <w:t> roce 2015</w:t>
      </w:r>
      <w:r w:rsidRPr="009C1521">
        <w:rPr>
          <w:b/>
          <w:i w:val="0"/>
          <w:szCs w:val="28"/>
        </w:rPr>
        <w:t>.</w:t>
      </w:r>
    </w:p>
    <w:p w14:paraId="7F217C62" w14:textId="77777777" w:rsidR="00A85EA9" w:rsidRPr="00A85EA9" w:rsidRDefault="00DE22AA" w:rsidP="00A314FC">
      <w:pPr>
        <w:pStyle w:val="Zkladntext"/>
        <w:numPr>
          <w:ilvl w:val="0"/>
          <w:numId w:val="6"/>
        </w:numPr>
        <w:shd w:val="clear" w:color="auto" w:fill="FDE9D9"/>
        <w:spacing w:after="240" w:line="288" w:lineRule="auto"/>
        <w:ind w:left="908" w:hanging="454"/>
        <w:rPr>
          <w:b/>
          <w:i w:val="0"/>
          <w:szCs w:val="28"/>
        </w:rPr>
      </w:pPr>
      <w:r w:rsidRPr="00DE22AA">
        <w:rPr>
          <w:b/>
          <w:i w:val="0"/>
          <w:szCs w:val="28"/>
        </w:rPr>
        <w:t>Nejčastěji vidí lidé nebezpečí v tom, že elektronické pokladny budou opatřením likvidujícím živnostníky.</w:t>
      </w:r>
      <w:r>
        <w:rPr>
          <w:b/>
          <w:i w:val="0"/>
          <w:szCs w:val="28"/>
          <w:lang w:val="cs-CZ"/>
        </w:rPr>
        <w:t xml:space="preserve"> </w:t>
      </w:r>
      <w:r w:rsidRPr="00DE22AA">
        <w:rPr>
          <w:b/>
          <w:i w:val="0"/>
          <w:szCs w:val="28"/>
        </w:rPr>
        <w:t>Část lidí se domnívá, že zavedení elektronické evidence tržeb podvodným přístupům nezamezí.</w:t>
      </w:r>
    </w:p>
    <w:p w14:paraId="42ADBDFA" w14:textId="77777777" w:rsidR="00A85EA9" w:rsidRPr="009C1521" w:rsidRDefault="009C1521" w:rsidP="00A314FC">
      <w:pPr>
        <w:pStyle w:val="Zkladntext"/>
        <w:numPr>
          <w:ilvl w:val="0"/>
          <w:numId w:val="6"/>
        </w:numPr>
        <w:shd w:val="clear" w:color="auto" w:fill="FDE9D9"/>
        <w:spacing w:after="240" w:line="288" w:lineRule="auto"/>
        <w:ind w:left="908" w:hanging="454"/>
        <w:rPr>
          <w:b/>
          <w:i w:val="0"/>
          <w:szCs w:val="28"/>
        </w:rPr>
      </w:pPr>
      <w:r w:rsidRPr="00881C44">
        <w:rPr>
          <w:b/>
          <w:i w:val="0"/>
          <w:szCs w:val="28"/>
        </w:rPr>
        <w:t>Téměř dvoutřetinová většina občanů považuje zavedení elektronické evidence tržeb celkově za pozitivní opatření.</w:t>
      </w:r>
    </w:p>
    <w:p w14:paraId="1E5DFBC2" w14:textId="77777777" w:rsidR="009C1521" w:rsidRPr="009C1521" w:rsidRDefault="009C1521" w:rsidP="00A314FC">
      <w:pPr>
        <w:pStyle w:val="Zkladntext"/>
        <w:numPr>
          <w:ilvl w:val="0"/>
          <w:numId w:val="6"/>
        </w:numPr>
        <w:shd w:val="clear" w:color="auto" w:fill="FDE9D9"/>
        <w:spacing w:after="240" w:line="288" w:lineRule="auto"/>
        <w:ind w:left="908" w:hanging="454"/>
        <w:rPr>
          <w:b/>
          <w:i w:val="0"/>
          <w:szCs w:val="28"/>
        </w:rPr>
      </w:pPr>
      <w:r w:rsidRPr="00881C44">
        <w:rPr>
          <w:b/>
          <w:i w:val="0"/>
          <w:szCs w:val="28"/>
        </w:rPr>
        <w:t>Dvoutřetinová většina dotázaných se o elektronické evidenci tržeb nejvíce dozvěděla ze zpravodajství v tisku či televizi. Ostatní zdroje jsou spíše okrajové. Určitou roli hraje pouze zpravodajství na internetu.</w:t>
      </w:r>
    </w:p>
    <w:p w14:paraId="16901673" w14:textId="77777777" w:rsidR="009C1521" w:rsidRPr="00881C44" w:rsidRDefault="00881C44" w:rsidP="00A314FC">
      <w:pPr>
        <w:pStyle w:val="Zkladntext"/>
        <w:numPr>
          <w:ilvl w:val="0"/>
          <w:numId w:val="6"/>
        </w:numPr>
        <w:shd w:val="clear" w:color="auto" w:fill="FDE9D9"/>
        <w:spacing w:after="240" w:line="288" w:lineRule="auto"/>
        <w:ind w:left="908" w:hanging="454"/>
        <w:rPr>
          <w:b/>
          <w:i w:val="0"/>
          <w:szCs w:val="28"/>
        </w:rPr>
      </w:pPr>
      <w:r w:rsidRPr="00881C44">
        <w:rPr>
          <w:b/>
          <w:i w:val="0"/>
          <w:szCs w:val="28"/>
        </w:rPr>
        <w:t>Dvě pětiny občanů vědí o elektronické evidenci tržeb, co potřebují. Ovšem třetina by se ráda dozvěděla více.</w:t>
      </w:r>
    </w:p>
    <w:p w14:paraId="30B9EC81" w14:textId="77777777" w:rsidR="00881C44" w:rsidRPr="00881C44" w:rsidRDefault="00881C44" w:rsidP="00A314FC">
      <w:pPr>
        <w:pStyle w:val="Zkladntext"/>
        <w:numPr>
          <w:ilvl w:val="0"/>
          <w:numId w:val="6"/>
        </w:numPr>
        <w:shd w:val="clear" w:color="auto" w:fill="FDE9D9"/>
        <w:spacing w:after="240" w:line="288" w:lineRule="auto"/>
        <w:ind w:left="908" w:hanging="454"/>
        <w:rPr>
          <w:b/>
          <w:i w:val="0"/>
          <w:szCs w:val="28"/>
        </w:rPr>
      </w:pPr>
      <w:r w:rsidRPr="00881C44">
        <w:rPr>
          <w:b/>
          <w:i w:val="0"/>
          <w:szCs w:val="28"/>
        </w:rPr>
        <w:t xml:space="preserve">Nadpoloviční většina dotázaných si myslí, že ví, kde informace </w:t>
      </w:r>
      <w:r w:rsidR="00D113F5">
        <w:rPr>
          <w:b/>
          <w:i w:val="0"/>
          <w:szCs w:val="28"/>
          <w:lang w:val="cs-CZ"/>
        </w:rPr>
        <w:br/>
      </w:r>
      <w:r w:rsidRPr="00881C44">
        <w:rPr>
          <w:b/>
          <w:i w:val="0"/>
          <w:szCs w:val="28"/>
        </w:rPr>
        <w:t>o elektronické evidenci tržeb hledat.</w:t>
      </w:r>
    </w:p>
    <w:p w14:paraId="67B2E994" w14:textId="77777777" w:rsidR="00881C44" w:rsidRPr="00881C44" w:rsidRDefault="00881C44" w:rsidP="00A314FC">
      <w:pPr>
        <w:pStyle w:val="Zkladntext"/>
        <w:numPr>
          <w:ilvl w:val="0"/>
          <w:numId w:val="6"/>
        </w:numPr>
        <w:shd w:val="clear" w:color="auto" w:fill="FDE9D9"/>
        <w:spacing w:after="240" w:line="288" w:lineRule="auto"/>
        <w:ind w:left="908" w:hanging="454"/>
        <w:rPr>
          <w:b/>
          <w:i w:val="0"/>
          <w:szCs w:val="28"/>
        </w:rPr>
      </w:pPr>
      <w:r w:rsidRPr="00881C44">
        <w:rPr>
          <w:b/>
          <w:i w:val="0"/>
          <w:szCs w:val="28"/>
        </w:rPr>
        <w:t>Dvoutřetinová většina dotázaných občanů vyžaduje již dnes vždy nebo většinou při placení běžných nákupů účtenku.</w:t>
      </w:r>
    </w:p>
    <w:p w14:paraId="55B7AF00" w14:textId="77777777" w:rsidR="00881C44" w:rsidRPr="00881C44" w:rsidRDefault="00881C44" w:rsidP="00A314FC">
      <w:pPr>
        <w:pStyle w:val="Zkladntext"/>
        <w:numPr>
          <w:ilvl w:val="0"/>
          <w:numId w:val="6"/>
        </w:numPr>
        <w:shd w:val="clear" w:color="auto" w:fill="FDE9D9"/>
        <w:spacing w:after="240" w:line="288" w:lineRule="auto"/>
        <w:ind w:left="908" w:hanging="454"/>
        <w:rPr>
          <w:b/>
          <w:i w:val="0"/>
          <w:szCs w:val="28"/>
        </w:rPr>
      </w:pPr>
      <w:r w:rsidRPr="00881C44">
        <w:rPr>
          <w:b/>
          <w:i w:val="0"/>
          <w:szCs w:val="28"/>
        </w:rPr>
        <w:t>Téměř tříčtvrtinová většina dotázaných občanů uvádí, že bude po zavedení elektronické evidence tržeb požadovat při placení běžných nákupů účtenku.</w:t>
      </w:r>
    </w:p>
    <w:p w14:paraId="02C183D9" w14:textId="77777777" w:rsidR="00881C44" w:rsidRPr="00A85EA9" w:rsidRDefault="00881C44" w:rsidP="00A314FC">
      <w:pPr>
        <w:pStyle w:val="Zkladntext"/>
        <w:numPr>
          <w:ilvl w:val="0"/>
          <w:numId w:val="6"/>
        </w:numPr>
        <w:shd w:val="clear" w:color="auto" w:fill="FDE9D9"/>
        <w:spacing w:after="240" w:line="288" w:lineRule="auto"/>
        <w:ind w:left="908" w:hanging="454"/>
        <w:rPr>
          <w:b/>
          <w:i w:val="0"/>
          <w:szCs w:val="28"/>
        </w:rPr>
      </w:pPr>
      <w:r w:rsidRPr="00881C44">
        <w:rPr>
          <w:b/>
          <w:i w:val="0"/>
          <w:szCs w:val="28"/>
        </w:rPr>
        <w:t>U tříčtvrtinové většiny dotázaných občanů by slosovatelnost účtenky zvýšila motivaci požadovat při placení účtenku.</w:t>
      </w:r>
    </w:p>
    <w:p w14:paraId="54EBBE13" w14:textId="77777777" w:rsidR="00424BAF" w:rsidRPr="00B53C37" w:rsidRDefault="00424BAF" w:rsidP="00A85EA9">
      <w:pPr>
        <w:pStyle w:val="Zkladntext"/>
        <w:spacing w:before="60" w:after="240" w:line="288" w:lineRule="auto"/>
        <w:ind w:left="539"/>
        <w:rPr>
          <w:b/>
          <w:i w:val="0"/>
          <w:szCs w:val="28"/>
        </w:rPr>
      </w:pPr>
      <w:r w:rsidRPr="00A85EA9">
        <w:rPr>
          <w:szCs w:val="28"/>
        </w:rPr>
        <w:br w:type="page"/>
      </w:r>
      <w:r w:rsidRPr="00050E8C">
        <w:rPr>
          <w:b/>
          <w:bCs/>
          <w:i w:val="0"/>
          <w:sz w:val="40"/>
          <w:shd w:val="clear" w:color="auto" w:fill="DAEEF3"/>
        </w:rPr>
        <w:t>IV.</w:t>
      </w:r>
      <w:r w:rsidRPr="00050E8C">
        <w:rPr>
          <w:b/>
          <w:bCs/>
          <w:i w:val="0"/>
          <w:sz w:val="40"/>
          <w:shd w:val="clear" w:color="auto" w:fill="DAEEF3"/>
        </w:rPr>
        <w:tab/>
        <w:t>Podrobné výsledky</w:t>
      </w:r>
      <w:r w:rsidRPr="00B53C37">
        <w:rPr>
          <w:b/>
          <w:i w:val="0"/>
          <w:szCs w:val="28"/>
        </w:rPr>
        <w:t xml:space="preserve"> </w:t>
      </w:r>
    </w:p>
    <w:p w14:paraId="72E7B91E" w14:textId="77777777" w:rsidR="00B53C37" w:rsidRDefault="00D77605" w:rsidP="00B53C37">
      <w:pPr>
        <w:spacing w:before="120" w:line="160" w:lineRule="exact"/>
        <w:jc w:val="center"/>
        <w:rPr>
          <w:b/>
          <w:i/>
          <w:iCs/>
          <w:sz w:val="32"/>
          <w:szCs w:val="20"/>
        </w:rPr>
      </w:pPr>
      <w:r>
        <w:rPr>
          <w:b/>
          <w:i/>
          <w:iCs/>
          <w:sz w:val="32"/>
        </w:rPr>
        <w:pict w14:anchorId="54A0AEFC">
          <v:rect id="_x0000_i1029" style="width:453.6pt;height:2.25pt" o:hralign="center" o:hrstd="t" o:hrnoshade="t" o:hr="t" fillcolor="#603" stroked="f"/>
        </w:pict>
      </w:r>
    </w:p>
    <w:p w14:paraId="3EB5990D" w14:textId="77777777" w:rsidR="00367148" w:rsidRDefault="00367148">
      <w:pPr>
        <w:pStyle w:val="Zkladntext"/>
        <w:jc w:val="center"/>
        <w:rPr>
          <w:b/>
          <w:i w:val="0"/>
          <w:szCs w:val="28"/>
        </w:rPr>
      </w:pPr>
    </w:p>
    <w:p w14:paraId="57BD69F4" w14:textId="77777777" w:rsidR="005B537C" w:rsidRPr="00597C6D" w:rsidRDefault="006943D7" w:rsidP="00895024">
      <w:pPr>
        <w:pStyle w:val="Zkladntext"/>
        <w:numPr>
          <w:ilvl w:val="0"/>
          <w:numId w:val="4"/>
        </w:numPr>
        <w:shd w:val="clear" w:color="auto" w:fill="FFFF99"/>
        <w:spacing w:after="120"/>
        <w:jc w:val="center"/>
        <w:rPr>
          <w:b/>
          <w:i w:val="0"/>
          <w:sz w:val="32"/>
          <w:szCs w:val="32"/>
        </w:rPr>
      </w:pPr>
      <w:r>
        <w:rPr>
          <w:b/>
          <w:i w:val="0"/>
          <w:sz w:val="32"/>
          <w:szCs w:val="32"/>
        </w:rPr>
        <w:t>T</w:t>
      </w:r>
      <w:r w:rsidR="004E55CB">
        <w:rPr>
          <w:b/>
          <w:i w:val="0"/>
          <w:sz w:val="32"/>
          <w:szCs w:val="32"/>
        </w:rPr>
        <w:t xml:space="preserve">éměř polovina </w:t>
      </w:r>
      <w:r>
        <w:rPr>
          <w:b/>
          <w:i w:val="0"/>
          <w:sz w:val="32"/>
          <w:szCs w:val="32"/>
        </w:rPr>
        <w:t xml:space="preserve">veřejnosti považuje daňovou morálku obchodníků, prodejců zboží a služeb v České republice </w:t>
      </w:r>
      <w:r>
        <w:rPr>
          <w:b/>
          <w:i w:val="0"/>
          <w:sz w:val="32"/>
          <w:szCs w:val="32"/>
        </w:rPr>
        <w:br/>
        <w:t xml:space="preserve">za </w:t>
      </w:r>
      <w:r w:rsidR="004E55CB">
        <w:rPr>
          <w:b/>
          <w:i w:val="0"/>
          <w:sz w:val="32"/>
          <w:szCs w:val="32"/>
        </w:rPr>
        <w:t>dobrou</w:t>
      </w:r>
      <w:r w:rsidR="00901775">
        <w:rPr>
          <w:b/>
          <w:i w:val="0"/>
          <w:sz w:val="32"/>
          <w:szCs w:val="32"/>
        </w:rPr>
        <w:t>.</w:t>
      </w:r>
      <w:r w:rsidR="004E55CB">
        <w:rPr>
          <w:b/>
          <w:i w:val="0"/>
          <w:sz w:val="32"/>
          <w:szCs w:val="32"/>
        </w:rPr>
        <w:t xml:space="preserve"> Tento podíl je mírně vyšší než před rokem.</w:t>
      </w:r>
    </w:p>
    <w:p w14:paraId="18969481" w14:textId="77777777" w:rsidR="005B537C" w:rsidRDefault="005B537C" w:rsidP="005B537C">
      <w:pPr>
        <w:tabs>
          <w:tab w:val="left" w:pos="7635"/>
        </w:tabs>
        <w:rPr>
          <w:b/>
          <w:iCs/>
          <w:color w:val="FF0000"/>
          <w:sz w:val="32"/>
        </w:rPr>
      </w:pPr>
      <w:r>
        <w:rPr>
          <w:b/>
          <w:iCs/>
          <w:color w:val="FF0000"/>
          <w:sz w:val="32"/>
        </w:rPr>
        <w:tab/>
      </w:r>
    </w:p>
    <w:p w14:paraId="63CBCAB0" w14:textId="77777777" w:rsidR="005B537C" w:rsidRPr="00844E91" w:rsidRDefault="005B537C" w:rsidP="00723346">
      <w:pPr>
        <w:pStyle w:val="Zkladntext3"/>
        <w:spacing w:line="240" w:lineRule="auto"/>
        <w:rPr>
          <w:b w:val="0"/>
        </w:rPr>
      </w:pPr>
      <w:r w:rsidRPr="00844E91">
        <w:rPr>
          <w:b w:val="0"/>
        </w:rPr>
        <w:t>„</w:t>
      </w:r>
      <w:r w:rsidR="00DC2C59" w:rsidRPr="00844E91">
        <w:rPr>
          <w:b w:val="0"/>
          <w:bCs/>
        </w:rPr>
        <w:t>Zvážíte-li všechna pro a proti, řekl(a) byste, že daňová morálka obchodníků, prodejců zboží a služeb je dnes v ČR:</w:t>
      </w:r>
      <w:r w:rsidR="00723346" w:rsidRPr="00844E91">
        <w:rPr>
          <w:b w:val="0"/>
        </w:rPr>
        <w:t>“</w:t>
      </w:r>
    </w:p>
    <w:p w14:paraId="1C2BBA20" w14:textId="77777777" w:rsidR="00477C94" w:rsidRDefault="00477C94" w:rsidP="00477C94">
      <w:pPr>
        <w:pStyle w:val="Zkladntext3"/>
        <w:spacing w:after="120" w:line="240" w:lineRule="auto"/>
      </w:pPr>
      <w:r>
        <w:rPr>
          <w:noProof/>
          <w:lang w:val="cs-CZ" w:eastAsia="cs-CZ"/>
        </w:rPr>
        <w:drawing>
          <wp:inline distT="0" distB="0" distL="0" distR="0" wp14:anchorId="3365CAD8" wp14:editId="63239D61">
            <wp:extent cx="5770709" cy="3772861"/>
            <wp:effectExtent l="0" t="0" r="0" b="0"/>
            <wp:docPr id="1"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4901E96" w14:textId="77777777" w:rsidR="00723346" w:rsidRDefault="00723346" w:rsidP="00723346">
      <w:pPr>
        <w:pStyle w:val="Zkladntext3"/>
        <w:spacing w:line="240" w:lineRule="auto"/>
        <w:rPr>
          <w:sz w:val="25"/>
          <w:szCs w:val="25"/>
        </w:rPr>
      </w:pPr>
    </w:p>
    <w:p w14:paraId="37F24CD7" w14:textId="77777777" w:rsidR="003D7A7A" w:rsidRDefault="003D7A7A" w:rsidP="00723346">
      <w:pPr>
        <w:pStyle w:val="Zkladntext3"/>
        <w:spacing w:line="240" w:lineRule="auto"/>
        <w:rPr>
          <w:sz w:val="25"/>
          <w:szCs w:val="25"/>
        </w:rPr>
      </w:pPr>
    </w:p>
    <w:p w14:paraId="657AA09B" w14:textId="77777777" w:rsidR="003D7A7A" w:rsidRPr="00723346" w:rsidRDefault="003D7A7A" w:rsidP="00723346">
      <w:pPr>
        <w:pStyle w:val="Zkladntext3"/>
        <w:spacing w:line="240" w:lineRule="auto"/>
        <w:rPr>
          <w:sz w:val="25"/>
          <w:szCs w:val="25"/>
        </w:rPr>
      </w:pPr>
    </w:p>
    <w:p w14:paraId="2C70459C" w14:textId="77777777" w:rsidR="00D21C77" w:rsidRDefault="004E55CB" w:rsidP="00895024">
      <w:pPr>
        <w:numPr>
          <w:ilvl w:val="0"/>
          <w:numId w:val="1"/>
        </w:numPr>
        <w:spacing w:after="80" w:line="360" w:lineRule="auto"/>
        <w:jc w:val="both"/>
      </w:pPr>
      <w:r>
        <w:t>D</w:t>
      </w:r>
      <w:r w:rsidR="004D70B8">
        <w:t>aňov</w:t>
      </w:r>
      <w:r>
        <w:t>ou</w:t>
      </w:r>
      <w:r w:rsidR="004D70B8">
        <w:t xml:space="preserve"> morál</w:t>
      </w:r>
      <w:r>
        <w:t>ku</w:t>
      </w:r>
      <w:r w:rsidR="004D70B8">
        <w:t xml:space="preserve"> obchodníků a prodejců zboží či služeb </w:t>
      </w:r>
      <w:r>
        <w:t>častěji za dobrou považují lidé do 45 let a dále poněkud častěji muži než ženy</w:t>
      </w:r>
      <w:r w:rsidR="004D70B8">
        <w:t xml:space="preserve">. </w:t>
      </w:r>
      <w:r>
        <w:t>V závislosti na vzdělání nejsou mezi dotázanými významné rozdíly.</w:t>
      </w:r>
    </w:p>
    <w:p w14:paraId="6A2B2957" w14:textId="77777777" w:rsidR="003421B6" w:rsidRDefault="003421B6" w:rsidP="00895024">
      <w:pPr>
        <w:numPr>
          <w:ilvl w:val="0"/>
          <w:numId w:val="1"/>
        </w:numPr>
        <w:spacing w:after="80" w:line="360" w:lineRule="auto"/>
        <w:jc w:val="both"/>
      </w:pPr>
      <w:r>
        <w:t>Lidé, kteří mají osobní nebo zprostředkovanou zkušenost s hotovostními tržbami z podnikání, hodnotí daňovou morálku obchodníků poněkud častěji jako dobrou v porovnání s lidmi bez takové zkušenosti.</w:t>
      </w:r>
    </w:p>
    <w:p w14:paraId="14DDED3D" w14:textId="77777777" w:rsidR="00AB77FB" w:rsidRDefault="00AB77FB" w:rsidP="00AB77FB">
      <w:pPr>
        <w:spacing w:line="160" w:lineRule="exact"/>
        <w:rPr>
          <w:sz w:val="16"/>
        </w:rPr>
      </w:pPr>
    </w:p>
    <w:p w14:paraId="20E2EF97" w14:textId="77777777" w:rsidR="00F83A49" w:rsidRDefault="00E435DB" w:rsidP="004D70B8">
      <w:pPr>
        <w:pStyle w:val="Zkladntext3"/>
        <w:spacing w:after="120" w:line="240" w:lineRule="auto"/>
        <w:rPr>
          <w:sz w:val="25"/>
          <w:szCs w:val="25"/>
        </w:rPr>
      </w:pPr>
      <w:r>
        <w:rPr>
          <w:sz w:val="25"/>
          <w:szCs w:val="25"/>
        </w:rPr>
        <w:br w:type="page"/>
      </w:r>
      <w:r w:rsidR="00067CE2">
        <w:rPr>
          <w:noProof/>
          <w:lang w:val="cs-CZ" w:eastAsia="cs-CZ"/>
        </w:rPr>
        <w:drawing>
          <wp:inline distT="0" distB="0" distL="0" distR="0" wp14:anchorId="68597511" wp14:editId="4AECFD6B">
            <wp:extent cx="5770709" cy="3995697"/>
            <wp:effectExtent l="0" t="0" r="0" b="0"/>
            <wp:docPr id="17"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D0E30B3" w14:textId="77777777" w:rsidR="004E55CB" w:rsidRDefault="004E55CB" w:rsidP="004E55CB">
      <w:pPr>
        <w:pStyle w:val="Zkladntext3"/>
        <w:spacing w:after="120" w:line="240" w:lineRule="auto"/>
        <w:rPr>
          <w:b w:val="0"/>
          <w:i w:val="0"/>
          <w:sz w:val="20"/>
          <w:szCs w:val="20"/>
        </w:rPr>
      </w:pPr>
      <w:r>
        <w:rPr>
          <w:b w:val="0"/>
          <w:i w:val="0"/>
          <w:sz w:val="20"/>
          <w:szCs w:val="20"/>
        </w:rPr>
        <w:t>Pramen: EET II., STEM, květen 2016, 1010 respondentů</w:t>
      </w:r>
    </w:p>
    <w:p w14:paraId="646F0962" w14:textId="77777777" w:rsidR="004E55CB" w:rsidRPr="004E55CB" w:rsidRDefault="004E55CB" w:rsidP="004D70B8">
      <w:pPr>
        <w:pStyle w:val="Zkladntext3"/>
        <w:spacing w:after="120" w:line="240" w:lineRule="auto"/>
        <w:rPr>
          <w:sz w:val="25"/>
          <w:szCs w:val="25"/>
        </w:rPr>
      </w:pPr>
    </w:p>
    <w:p w14:paraId="12C7E3F3" w14:textId="77777777" w:rsidR="004E55CB" w:rsidRDefault="004E55CB" w:rsidP="004E55CB">
      <w:pPr>
        <w:pStyle w:val="Zkladntext3"/>
        <w:spacing w:after="120" w:line="240" w:lineRule="auto"/>
        <w:rPr>
          <w:sz w:val="25"/>
          <w:szCs w:val="25"/>
        </w:rPr>
      </w:pPr>
      <w:r>
        <w:rPr>
          <w:noProof/>
          <w:lang w:val="cs-CZ" w:eastAsia="cs-CZ"/>
        </w:rPr>
        <w:drawing>
          <wp:inline distT="0" distB="0" distL="0" distR="0" wp14:anchorId="00C2CF76" wp14:editId="702C99E0">
            <wp:extent cx="5770709" cy="3988014"/>
            <wp:effectExtent l="0" t="0" r="0" b="0"/>
            <wp:docPr id="2"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980919C" w14:textId="77777777" w:rsidR="009A6FF0" w:rsidRDefault="009A6FF0" w:rsidP="004D70B8">
      <w:pPr>
        <w:pStyle w:val="Zkladntext3"/>
        <w:spacing w:after="120" w:line="240" w:lineRule="auto"/>
        <w:rPr>
          <w:b w:val="0"/>
          <w:i w:val="0"/>
          <w:sz w:val="20"/>
          <w:szCs w:val="20"/>
        </w:rPr>
      </w:pPr>
      <w:r>
        <w:rPr>
          <w:b w:val="0"/>
          <w:i w:val="0"/>
          <w:sz w:val="20"/>
          <w:szCs w:val="20"/>
        </w:rPr>
        <w:t xml:space="preserve">Pramen: EET II., STEM, květen 2016, </w:t>
      </w:r>
      <w:r w:rsidR="004E55CB">
        <w:rPr>
          <w:b w:val="0"/>
          <w:i w:val="0"/>
          <w:sz w:val="20"/>
          <w:szCs w:val="20"/>
        </w:rPr>
        <w:t>1010</w:t>
      </w:r>
      <w:r>
        <w:rPr>
          <w:b w:val="0"/>
          <w:i w:val="0"/>
          <w:sz w:val="20"/>
          <w:szCs w:val="20"/>
        </w:rPr>
        <w:t xml:space="preserve"> respondentů</w:t>
      </w:r>
    </w:p>
    <w:p w14:paraId="745EC737" w14:textId="77777777" w:rsidR="0005607D" w:rsidRDefault="0005607D" w:rsidP="0005607D">
      <w:pPr>
        <w:pStyle w:val="Zkladntext3"/>
        <w:spacing w:after="120" w:line="240" w:lineRule="auto"/>
        <w:rPr>
          <w:sz w:val="25"/>
          <w:szCs w:val="25"/>
        </w:rPr>
      </w:pPr>
      <w:r>
        <w:rPr>
          <w:noProof/>
          <w:lang w:val="cs-CZ" w:eastAsia="cs-CZ"/>
        </w:rPr>
        <w:drawing>
          <wp:inline distT="0" distB="0" distL="0" distR="0" wp14:anchorId="53B68B4E" wp14:editId="7A182A19">
            <wp:extent cx="5770709" cy="3988014"/>
            <wp:effectExtent l="0" t="0" r="0" b="0"/>
            <wp:docPr id="42"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30D7600" w14:textId="77777777" w:rsidR="0005607D" w:rsidRDefault="0005607D" w:rsidP="0005607D">
      <w:pPr>
        <w:pStyle w:val="Zkladntext3"/>
        <w:spacing w:after="120" w:line="240" w:lineRule="auto"/>
        <w:rPr>
          <w:b w:val="0"/>
          <w:i w:val="0"/>
          <w:sz w:val="20"/>
          <w:szCs w:val="20"/>
        </w:rPr>
      </w:pPr>
      <w:r>
        <w:rPr>
          <w:b w:val="0"/>
          <w:i w:val="0"/>
          <w:sz w:val="20"/>
          <w:szCs w:val="20"/>
        </w:rPr>
        <w:t>Pramen: EET II., STEM, květen 2016, 1010 respondentů</w:t>
      </w:r>
    </w:p>
    <w:p w14:paraId="6674C2ED" w14:textId="77777777" w:rsidR="0005607D" w:rsidRDefault="0005607D" w:rsidP="004D70B8">
      <w:pPr>
        <w:pStyle w:val="Zkladntext3"/>
        <w:spacing w:after="120" w:line="240" w:lineRule="auto"/>
        <w:rPr>
          <w:b w:val="0"/>
          <w:i w:val="0"/>
          <w:sz w:val="20"/>
          <w:szCs w:val="20"/>
        </w:rPr>
      </w:pPr>
    </w:p>
    <w:p w14:paraId="2866F1B7" w14:textId="77777777" w:rsidR="001525DF" w:rsidRPr="005E2F62" w:rsidRDefault="001525DF" w:rsidP="004D70B8">
      <w:pPr>
        <w:pStyle w:val="Zkladntext3"/>
        <w:spacing w:after="120" w:line="240" w:lineRule="auto"/>
        <w:rPr>
          <w:i w:val="0"/>
          <w:sz w:val="2"/>
          <w:szCs w:val="2"/>
        </w:rPr>
      </w:pPr>
      <w:r>
        <w:rPr>
          <w:i w:val="0"/>
        </w:rPr>
        <w:br w:type="page"/>
      </w:r>
    </w:p>
    <w:p w14:paraId="1053B760" w14:textId="77777777" w:rsidR="00703972" w:rsidRPr="00031A60" w:rsidRDefault="00FB0D6B" w:rsidP="007B7FEB">
      <w:pPr>
        <w:pStyle w:val="Zkladntext"/>
        <w:numPr>
          <w:ilvl w:val="0"/>
          <w:numId w:val="4"/>
        </w:numPr>
        <w:shd w:val="clear" w:color="auto" w:fill="FFFF99"/>
        <w:spacing w:line="360" w:lineRule="auto"/>
        <w:jc w:val="center"/>
        <w:rPr>
          <w:b/>
          <w:i w:val="0"/>
          <w:sz w:val="32"/>
          <w:szCs w:val="32"/>
        </w:rPr>
      </w:pPr>
      <w:r>
        <w:rPr>
          <w:b/>
          <w:i w:val="0"/>
          <w:sz w:val="32"/>
          <w:szCs w:val="32"/>
        </w:rPr>
        <w:t>Podle jasné</w:t>
      </w:r>
      <w:r w:rsidR="006943D7" w:rsidRPr="00031A60">
        <w:rPr>
          <w:b/>
          <w:i w:val="0"/>
          <w:sz w:val="32"/>
          <w:szCs w:val="32"/>
        </w:rPr>
        <w:t xml:space="preserve"> většiny občanů </w:t>
      </w:r>
      <w:r>
        <w:rPr>
          <w:b/>
          <w:i w:val="0"/>
          <w:sz w:val="32"/>
          <w:szCs w:val="32"/>
        </w:rPr>
        <w:t xml:space="preserve">stát </w:t>
      </w:r>
      <w:r w:rsidR="006943D7" w:rsidRPr="00031A60">
        <w:rPr>
          <w:b/>
          <w:i w:val="0"/>
          <w:sz w:val="32"/>
          <w:szCs w:val="32"/>
        </w:rPr>
        <w:t>hled</w:t>
      </w:r>
      <w:r>
        <w:rPr>
          <w:b/>
          <w:i w:val="0"/>
          <w:sz w:val="32"/>
          <w:szCs w:val="32"/>
        </w:rPr>
        <w:t>á</w:t>
      </w:r>
      <w:r w:rsidR="006943D7" w:rsidRPr="00031A60">
        <w:rPr>
          <w:b/>
          <w:i w:val="0"/>
          <w:sz w:val="32"/>
          <w:szCs w:val="32"/>
        </w:rPr>
        <w:t xml:space="preserve"> cesty k vyššímu výběru daní od obchodníků a prodejců</w:t>
      </w:r>
      <w:r w:rsidR="00CD79A9" w:rsidRPr="00031A60">
        <w:rPr>
          <w:b/>
          <w:i w:val="0"/>
          <w:sz w:val="32"/>
          <w:szCs w:val="32"/>
        </w:rPr>
        <w:t>.</w:t>
      </w:r>
    </w:p>
    <w:p w14:paraId="76AE92B2" w14:textId="77777777" w:rsidR="00703972" w:rsidRDefault="00D77605" w:rsidP="00703972">
      <w:pPr>
        <w:pStyle w:val="Zkladntext"/>
        <w:rPr>
          <w:b/>
          <w:i w:val="0"/>
          <w:szCs w:val="28"/>
        </w:rPr>
      </w:pPr>
      <w:r>
        <w:rPr>
          <w:b/>
          <w:i w:val="0"/>
          <w:szCs w:val="28"/>
        </w:rPr>
        <w:pict w14:anchorId="4E34B4F2">
          <v:rect id="_x0000_i1030" style="width:453.6pt;height:2pt" o:hralign="center" o:hrstd="t" o:hrnoshade="t" o:hr="t" fillcolor="#603" stroked="f"/>
        </w:pict>
      </w:r>
    </w:p>
    <w:p w14:paraId="223EB90B" w14:textId="77777777" w:rsidR="00703972" w:rsidRDefault="00703972" w:rsidP="00703972">
      <w:pPr>
        <w:tabs>
          <w:tab w:val="left" w:pos="7635"/>
        </w:tabs>
        <w:rPr>
          <w:b/>
          <w:bCs/>
          <w:i/>
          <w:sz w:val="28"/>
          <w:szCs w:val="28"/>
        </w:rPr>
      </w:pPr>
    </w:p>
    <w:p w14:paraId="5B4D9092" w14:textId="77777777" w:rsidR="00AB77FB" w:rsidRDefault="006E5370" w:rsidP="00703972">
      <w:pPr>
        <w:pStyle w:val="Zkladntext3"/>
        <w:spacing w:line="240" w:lineRule="auto"/>
        <w:rPr>
          <w:b w:val="0"/>
        </w:rPr>
      </w:pPr>
      <w:r w:rsidRPr="006E5370">
        <w:rPr>
          <w:i w:val="0"/>
        </w:rPr>
        <w:t>201</w:t>
      </w:r>
      <w:r>
        <w:rPr>
          <w:i w:val="0"/>
        </w:rPr>
        <w:t>6</w:t>
      </w:r>
      <w:r w:rsidRPr="006E5370">
        <w:rPr>
          <w:i w:val="0"/>
        </w:rPr>
        <w:t>/</w:t>
      </w:r>
      <w:r>
        <w:rPr>
          <w:i w:val="0"/>
        </w:rPr>
        <w:t>5</w:t>
      </w:r>
      <w:r w:rsidRPr="006E5370">
        <w:rPr>
          <w:i w:val="0"/>
        </w:rPr>
        <w:t>:</w:t>
      </w:r>
      <w:r>
        <w:rPr>
          <w:b w:val="0"/>
        </w:rPr>
        <w:t xml:space="preserve"> </w:t>
      </w:r>
      <w:r w:rsidR="00AB77FB" w:rsidRPr="009A04ED">
        <w:rPr>
          <w:b w:val="0"/>
        </w:rPr>
        <w:t>„</w:t>
      </w:r>
      <w:r w:rsidR="00477C94">
        <w:rPr>
          <w:b w:val="0"/>
        </w:rPr>
        <w:t xml:space="preserve">Hledá </w:t>
      </w:r>
      <w:r w:rsidR="00A34D01" w:rsidRPr="009A04ED">
        <w:rPr>
          <w:b w:val="0"/>
        </w:rPr>
        <w:t xml:space="preserve">podle Vás stát cesty, jak dosáhnout vyššího výběru daní </w:t>
      </w:r>
      <w:r w:rsidR="009A04ED">
        <w:rPr>
          <w:b w:val="0"/>
        </w:rPr>
        <w:br/>
      </w:r>
      <w:r w:rsidR="00A34D01" w:rsidRPr="009A04ED">
        <w:rPr>
          <w:b w:val="0"/>
        </w:rPr>
        <w:t>od obchodníků a prodejců na našem trhu</w:t>
      </w:r>
      <w:r w:rsidR="00AB77FB" w:rsidRPr="009A04ED">
        <w:rPr>
          <w:b w:val="0"/>
        </w:rPr>
        <w:t>?“</w:t>
      </w:r>
    </w:p>
    <w:p w14:paraId="49B00602" w14:textId="77777777" w:rsidR="009A04ED" w:rsidRDefault="009A04ED" w:rsidP="00703972">
      <w:pPr>
        <w:pStyle w:val="Zkladntext3"/>
        <w:spacing w:line="240" w:lineRule="auto"/>
        <w:rPr>
          <w:b w:val="0"/>
        </w:rPr>
      </w:pPr>
    </w:p>
    <w:p w14:paraId="00E353D2" w14:textId="77777777" w:rsidR="00703972" w:rsidRDefault="00067CE2" w:rsidP="00703972">
      <w:pPr>
        <w:rPr>
          <w:b/>
          <w:color w:val="FF0000"/>
        </w:rPr>
      </w:pPr>
      <w:r>
        <w:rPr>
          <w:b/>
          <w:noProof/>
          <w:color w:val="FF0000"/>
        </w:rPr>
        <w:drawing>
          <wp:inline distT="0" distB="0" distL="0" distR="0" wp14:anchorId="570E8F17" wp14:editId="729F8C03">
            <wp:extent cx="5678501" cy="2151530"/>
            <wp:effectExtent l="0" t="0" r="0" b="0"/>
            <wp:docPr id="19" name="objek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C1351A4" w14:textId="77777777" w:rsidR="0032262F" w:rsidRDefault="0032262F" w:rsidP="0032262F">
      <w:pPr>
        <w:jc w:val="center"/>
        <w:rPr>
          <w:i/>
        </w:rPr>
      </w:pPr>
    </w:p>
    <w:p w14:paraId="7C2FDCD0" w14:textId="77777777" w:rsidR="006E5370" w:rsidRDefault="006E5370" w:rsidP="006E5370">
      <w:pPr>
        <w:pStyle w:val="Zkladntext3"/>
        <w:spacing w:line="240" w:lineRule="auto"/>
        <w:rPr>
          <w:b w:val="0"/>
        </w:rPr>
      </w:pPr>
      <w:r w:rsidRPr="006E5370">
        <w:rPr>
          <w:i w:val="0"/>
        </w:rPr>
        <w:t>2015/6:</w:t>
      </w:r>
      <w:r>
        <w:rPr>
          <w:b w:val="0"/>
        </w:rPr>
        <w:t xml:space="preserve"> </w:t>
      </w:r>
      <w:r w:rsidRPr="009A04ED">
        <w:rPr>
          <w:b w:val="0"/>
        </w:rPr>
        <w:t xml:space="preserve">„Měl by podle Vás stát hledat cesty, jak dosáhnout vyššího výběru daní </w:t>
      </w:r>
      <w:r>
        <w:rPr>
          <w:b w:val="0"/>
        </w:rPr>
        <w:br/>
      </w:r>
      <w:r w:rsidRPr="009A04ED">
        <w:rPr>
          <w:b w:val="0"/>
        </w:rPr>
        <w:t>od obchodníků a prodejců na našem trhu?“</w:t>
      </w:r>
    </w:p>
    <w:p w14:paraId="533713E8" w14:textId="77777777" w:rsidR="006E5370" w:rsidRDefault="006E5370" w:rsidP="006E5370">
      <w:pPr>
        <w:pStyle w:val="Zkladntext3"/>
        <w:spacing w:line="240" w:lineRule="auto"/>
        <w:rPr>
          <w:b w:val="0"/>
        </w:rPr>
      </w:pPr>
    </w:p>
    <w:p w14:paraId="03038294" w14:textId="77777777" w:rsidR="006E5370" w:rsidRDefault="006E5370" w:rsidP="006E5370">
      <w:pPr>
        <w:rPr>
          <w:b/>
          <w:color w:val="FF0000"/>
        </w:rPr>
      </w:pPr>
      <w:r>
        <w:rPr>
          <w:b/>
          <w:noProof/>
          <w:color w:val="FF0000"/>
        </w:rPr>
        <w:drawing>
          <wp:inline distT="0" distB="0" distL="0" distR="0" wp14:anchorId="26F88AF3" wp14:editId="27DF4DC3">
            <wp:extent cx="5678501" cy="2174582"/>
            <wp:effectExtent l="0" t="0" r="0" b="0"/>
            <wp:docPr id="3" name="objek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8B50C55" w14:textId="77777777" w:rsidR="006E5370" w:rsidRDefault="006E5370" w:rsidP="006E5370">
      <w:pPr>
        <w:jc w:val="center"/>
        <w:rPr>
          <w:i/>
        </w:rPr>
      </w:pPr>
    </w:p>
    <w:p w14:paraId="14A6E4F0" w14:textId="77777777" w:rsidR="00A34D01" w:rsidRPr="00A660DA" w:rsidRDefault="00A34D01" w:rsidP="00A34D01">
      <w:pPr>
        <w:jc w:val="center"/>
        <w:rPr>
          <w:i/>
        </w:rPr>
      </w:pPr>
    </w:p>
    <w:p w14:paraId="3E3953C2" w14:textId="77777777" w:rsidR="00203D67" w:rsidRDefault="009D0E74" w:rsidP="004D70B8">
      <w:pPr>
        <w:numPr>
          <w:ilvl w:val="0"/>
          <w:numId w:val="1"/>
        </w:numPr>
        <w:spacing w:after="120" w:line="360" w:lineRule="auto"/>
        <w:jc w:val="both"/>
      </w:pPr>
      <w:r>
        <w:t xml:space="preserve">Názor na to, zda stát hledá cesty </w:t>
      </w:r>
      <w:r w:rsidR="00D92008">
        <w:t>k lepšímu výběru daní od obchodníků a prodejců</w:t>
      </w:r>
      <w:r>
        <w:t xml:space="preserve">, je univerzální, nezávisí na pohlaví, věku, vzdělání. </w:t>
      </w:r>
    </w:p>
    <w:p w14:paraId="384F1052" w14:textId="12115879" w:rsidR="00EC143B" w:rsidRDefault="009D0E74" w:rsidP="004D70B8">
      <w:pPr>
        <w:numPr>
          <w:ilvl w:val="0"/>
          <w:numId w:val="1"/>
        </w:numPr>
        <w:spacing w:after="120" w:line="360" w:lineRule="auto"/>
        <w:jc w:val="both"/>
      </w:pPr>
      <w:r>
        <w:t xml:space="preserve">Poněkud méně často </w:t>
      </w:r>
      <w:r w:rsidR="00A9692B">
        <w:t xml:space="preserve">se s pozitivním hodnocením </w:t>
      </w:r>
      <w:r>
        <w:t>stát</w:t>
      </w:r>
      <w:r w:rsidR="00A9692B">
        <w:t>u</w:t>
      </w:r>
      <w:r>
        <w:t xml:space="preserve"> </w:t>
      </w:r>
      <w:r w:rsidR="00A9692B">
        <w:t xml:space="preserve">setkáváme </w:t>
      </w:r>
      <w:r>
        <w:t xml:space="preserve">v tomto ohledu </w:t>
      </w:r>
      <w:r w:rsidR="00234758">
        <w:br/>
      </w:r>
      <w:r w:rsidR="00A9692B">
        <w:t xml:space="preserve">u </w:t>
      </w:r>
      <w:r>
        <w:t>sympatizant</w:t>
      </w:r>
      <w:r w:rsidR="00A9692B">
        <w:t xml:space="preserve">ů </w:t>
      </w:r>
      <w:r>
        <w:t>KSČM, ODS a TOP 09, i když i mezi nimi podíl lidí domnívajících se, že se stát snaží dosáhnout vyššího výběru daní, jasně převažuje nad podílem lidí s opačným názorem.</w:t>
      </w:r>
      <w:r w:rsidR="00AB77FB">
        <w:br w:type="page"/>
      </w:r>
    </w:p>
    <w:p w14:paraId="4C31E145" w14:textId="77777777" w:rsidR="00F02722" w:rsidRDefault="00067CE2" w:rsidP="00F02722">
      <w:r>
        <w:rPr>
          <w:noProof/>
        </w:rPr>
        <w:drawing>
          <wp:inline distT="0" distB="0" distL="0" distR="0" wp14:anchorId="55D6A3F2" wp14:editId="3CB6F4E7">
            <wp:extent cx="5763260" cy="4718050"/>
            <wp:effectExtent l="0" t="0" r="0" b="0"/>
            <wp:docPr id="22" name="objek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09BF8D9" w14:textId="77777777" w:rsidR="009A6FF0" w:rsidRDefault="009A6FF0" w:rsidP="00F02722">
      <w:pPr>
        <w:rPr>
          <w:sz w:val="20"/>
          <w:szCs w:val="20"/>
        </w:rPr>
      </w:pPr>
    </w:p>
    <w:p w14:paraId="6AA65C12" w14:textId="77777777" w:rsidR="009D0E74" w:rsidRDefault="009D0E74" w:rsidP="009D0E74">
      <w:pPr>
        <w:pStyle w:val="Zkladntext3"/>
        <w:spacing w:after="120" w:line="240" w:lineRule="auto"/>
        <w:rPr>
          <w:b w:val="0"/>
          <w:i w:val="0"/>
          <w:sz w:val="20"/>
          <w:szCs w:val="20"/>
        </w:rPr>
      </w:pPr>
      <w:r>
        <w:rPr>
          <w:b w:val="0"/>
          <w:i w:val="0"/>
          <w:sz w:val="20"/>
          <w:szCs w:val="20"/>
        </w:rPr>
        <w:t>Pramen: EET II., STEM, květen 2016, 1010 respondentů</w:t>
      </w:r>
    </w:p>
    <w:p w14:paraId="0B270412" w14:textId="77777777" w:rsidR="009D0E74" w:rsidRDefault="009D0E74" w:rsidP="00F02722">
      <w:pPr>
        <w:rPr>
          <w:sz w:val="20"/>
          <w:szCs w:val="20"/>
        </w:rPr>
      </w:pPr>
    </w:p>
    <w:p w14:paraId="72D3DEBC" w14:textId="77777777" w:rsidR="00BA211E" w:rsidRPr="00BA211E" w:rsidRDefault="00BA211E" w:rsidP="00F02722">
      <w:pPr>
        <w:rPr>
          <w:sz w:val="20"/>
          <w:szCs w:val="20"/>
        </w:rPr>
      </w:pPr>
      <w:r w:rsidRPr="00BA211E">
        <w:rPr>
          <w:sz w:val="20"/>
          <w:szCs w:val="20"/>
        </w:rPr>
        <w:t>Poznámka: Údaje pro menší parlamentní strany jsou vzhledem k počtu jejich sympatizantů pouze orientační.</w:t>
      </w:r>
    </w:p>
    <w:p w14:paraId="4514B4FA" w14:textId="77777777" w:rsidR="001525DF" w:rsidRPr="0023188C" w:rsidRDefault="00CD11BB" w:rsidP="001525DF">
      <w:pPr>
        <w:rPr>
          <w:sz w:val="2"/>
          <w:szCs w:val="2"/>
        </w:rPr>
      </w:pPr>
      <w:r>
        <w:br w:type="page"/>
      </w:r>
    </w:p>
    <w:p w14:paraId="466FBD33" w14:textId="77777777" w:rsidR="009A04ED" w:rsidRDefault="00862AE3" w:rsidP="007B7FEB">
      <w:pPr>
        <w:pStyle w:val="Zkladntext"/>
        <w:numPr>
          <w:ilvl w:val="0"/>
          <w:numId w:val="4"/>
        </w:numPr>
        <w:shd w:val="clear" w:color="auto" w:fill="FFFF99"/>
        <w:spacing w:after="120" w:line="312" w:lineRule="auto"/>
        <w:jc w:val="center"/>
        <w:rPr>
          <w:b/>
          <w:i w:val="0"/>
          <w:sz w:val="32"/>
          <w:szCs w:val="28"/>
        </w:rPr>
      </w:pPr>
      <w:r>
        <w:rPr>
          <w:b/>
          <w:i w:val="0"/>
          <w:sz w:val="32"/>
          <w:szCs w:val="28"/>
        </w:rPr>
        <w:t xml:space="preserve">Znalost slovního spojení </w:t>
      </w:r>
      <w:r w:rsidR="006943D7">
        <w:rPr>
          <w:b/>
          <w:i w:val="0"/>
          <w:sz w:val="32"/>
          <w:szCs w:val="28"/>
        </w:rPr>
        <w:t>„elektronick</w:t>
      </w:r>
      <w:r>
        <w:rPr>
          <w:b/>
          <w:i w:val="0"/>
          <w:sz w:val="32"/>
          <w:szCs w:val="28"/>
        </w:rPr>
        <w:t>á</w:t>
      </w:r>
      <w:r w:rsidR="006943D7">
        <w:rPr>
          <w:b/>
          <w:i w:val="0"/>
          <w:sz w:val="32"/>
          <w:szCs w:val="28"/>
        </w:rPr>
        <w:t xml:space="preserve"> evidenc</w:t>
      </w:r>
      <w:r>
        <w:rPr>
          <w:b/>
          <w:i w:val="0"/>
          <w:sz w:val="32"/>
          <w:szCs w:val="28"/>
        </w:rPr>
        <w:t>e</w:t>
      </w:r>
      <w:r w:rsidR="006943D7">
        <w:rPr>
          <w:b/>
          <w:i w:val="0"/>
          <w:sz w:val="32"/>
          <w:szCs w:val="28"/>
        </w:rPr>
        <w:t xml:space="preserve"> tržeb“</w:t>
      </w:r>
      <w:r>
        <w:rPr>
          <w:b/>
          <w:i w:val="0"/>
          <w:sz w:val="32"/>
          <w:szCs w:val="28"/>
        </w:rPr>
        <w:t xml:space="preserve"> se </w:t>
      </w:r>
      <w:r w:rsidR="00207B4C">
        <w:rPr>
          <w:b/>
          <w:i w:val="0"/>
          <w:sz w:val="32"/>
          <w:szCs w:val="28"/>
        </w:rPr>
        <w:br/>
      </w:r>
      <w:r>
        <w:rPr>
          <w:b/>
          <w:i w:val="0"/>
          <w:sz w:val="32"/>
          <w:szCs w:val="28"/>
        </w:rPr>
        <w:t>od loňského roku zvýšil</w:t>
      </w:r>
      <w:r w:rsidR="00207B4C">
        <w:rPr>
          <w:b/>
          <w:i w:val="0"/>
          <w:sz w:val="32"/>
          <w:szCs w:val="28"/>
        </w:rPr>
        <w:t>a</w:t>
      </w:r>
      <w:r>
        <w:rPr>
          <w:b/>
          <w:i w:val="0"/>
          <w:sz w:val="32"/>
          <w:szCs w:val="28"/>
        </w:rPr>
        <w:t>, nyní již o něm slyšela téměř absolutní většina občanů</w:t>
      </w:r>
      <w:r w:rsidR="009A04ED">
        <w:rPr>
          <w:b/>
          <w:i w:val="0"/>
          <w:sz w:val="32"/>
          <w:szCs w:val="28"/>
        </w:rPr>
        <w:t>.</w:t>
      </w:r>
    </w:p>
    <w:p w14:paraId="47BA3A53" w14:textId="77777777" w:rsidR="009A04ED" w:rsidRDefault="00D77605" w:rsidP="009A04ED">
      <w:pPr>
        <w:pStyle w:val="Zkladntext"/>
        <w:rPr>
          <w:b/>
          <w:i w:val="0"/>
          <w:szCs w:val="28"/>
        </w:rPr>
      </w:pPr>
      <w:r>
        <w:rPr>
          <w:b/>
          <w:i w:val="0"/>
          <w:szCs w:val="28"/>
        </w:rPr>
        <w:pict w14:anchorId="3F5D1F96">
          <v:rect id="_x0000_i1031" style="width:453.6pt;height:2pt" o:hralign="center" o:hrstd="t" o:hrnoshade="t" o:hr="t" fillcolor="#603" stroked="f"/>
        </w:pict>
      </w:r>
    </w:p>
    <w:p w14:paraId="4E5C521A" w14:textId="77777777" w:rsidR="009A04ED" w:rsidRDefault="009A04ED" w:rsidP="009A04ED">
      <w:pPr>
        <w:tabs>
          <w:tab w:val="left" w:pos="7635"/>
        </w:tabs>
        <w:rPr>
          <w:b/>
          <w:bCs/>
          <w:i/>
          <w:sz w:val="28"/>
          <w:szCs w:val="28"/>
        </w:rPr>
      </w:pPr>
    </w:p>
    <w:p w14:paraId="46C68204" w14:textId="77777777" w:rsidR="009A04ED" w:rsidRDefault="009A04ED" w:rsidP="009A04ED">
      <w:pPr>
        <w:tabs>
          <w:tab w:val="left" w:pos="7635"/>
        </w:tabs>
        <w:rPr>
          <w:b/>
          <w:bCs/>
          <w:i/>
          <w:sz w:val="28"/>
          <w:szCs w:val="28"/>
        </w:rPr>
      </w:pPr>
    </w:p>
    <w:p w14:paraId="4876B3BC" w14:textId="77777777" w:rsidR="009A04ED" w:rsidRPr="009A04ED" w:rsidRDefault="009A04ED" w:rsidP="009A04ED">
      <w:pPr>
        <w:pStyle w:val="Zkladntext3"/>
        <w:spacing w:after="120" w:line="240" w:lineRule="auto"/>
        <w:rPr>
          <w:b w:val="0"/>
          <w:bCs/>
          <w:iCs w:val="0"/>
        </w:rPr>
      </w:pPr>
      <w:r w:rsidRPr="009A04ED">
        <w:rPr>
          <w:b w:val="0"/>
        </w:rPr>
        <w:t>„</w:t>
      </w:r>
      <w:r>
        <w:rPr>
          <w:b w:val="0"/>
        </w:rPr>
        <w:t xml:space="preserve">Slyšel(a) jste někdy termín nebo slovní spojení </w:t>
      </w:r>
      <w:r>
        <w:rPr>
          <w:b w:val="0"/>
        </w:rPr>
        <w:br/>
        <w:t>„elektronická evidence tržeb“</w:t>
      </w:r>
      <w:r w:rsidRPr="009A04ED">
        <w:rPr>
          <w:b w:val="0"/>
        </w:rPr>
        <w:t>?</w:t>
      </w:r>
      <w:r w:rsidRPr="009A04ED">
        <w:rPr>
          <w:b w:val="0"/>
          <w:bCs/>
          <w:iCs w:val="0"/>
        </w:rPr>
        <w:t>“</w:t>
      </w:r>
    </w:p>
    <w:p w14:paraId="0CDA1CCD" w14:textId="77777777" w:rsidR="009A6FF0" w:rsidRDefault="009A6FF0" w:rsidP="009A6FF0">
      <w:pPr>
        <w:pStyle w:val="Zkladntext3"/>
        <w:spacing w:after="120" w:line="240" w:lineRule="auto"/>
      </w:pPr>
      <w:r>
        <w:rPr>
          <w:noProof/>
          <w:lang w:val="cs-CZ" w:eastAsia="cs-CZ"/>
        </w:rPr>
        <w:drawing>
          <wp:inline distT="0" distB="0" distL="0" distR="0" wp14:anchorId="72919D8C" wp14:editId="5755FED1">
            <wp:extent cx="5770709" cy="3772861"/>
            <wp:effectExtent l="0" t="0" r="0" b="0"/>
            <wp:docPr id="6"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68F8E5C" w14:textId="77777777" w:rsidR="009A6FF0" w:rsidRDefault="009A6FF0" w:rsidP="009A6FF0">
      <w:pPr>
        <w:pStyle w:val="Zkladntext3"/>
        <w:spacing w:line="240" w:lineRule="auto"/>
        <w:rPr>
          <w:sz w:val="25"/>
          <w:szCs w:val="25"/>
        </w:rPr>
      </w:pPr>
    </w:p>
    <w:p w14:paraId="6C552780" w14:textId="77777777" w:rsidR="009A6FF0" w:rsidRPr="009A6FF0" w:rsidRDefault="009A6FF0" w:rsidP="009A04ED">
      <w:pPr>
        <w:pStyle w:val="Zkladntextodsazen2"/>
        <w:spacing w:after="60" w:line="240" w:lineRule="exact"/>
        <w:ind w:left="720"/>
        <w:rPr>
          <w:i/>
        </w:rPr>
      </w:pPr>
    </w:p>
    <w:p w14:paraId="19D94FAA" w14:textId="77777777" w:rsidR="00BA211E" w:rsidRDefault="00AC04F4" w:rsidP="00895024">
      <w:pPr>
        <w:numPr>
          <w:ilvl w:val="0"/>
          <w:numId w:val="1"/>
        </w:numPr>
        <w:spacing w:after="120" w:line="312" w:lineRule="auto"/>
        <w:jc w:val="both"/>
      </w:pPr>
      <w:r>
        <w:t>O elektronické evidenci tržeb poněkud častěji slyšeli muži než ženy</w:t>
      </w:r>
      <w:r w:rsidR="00207B4C">
        <w:t xml:space="preserve">, rozdíl </w:t>
      </w:r>
      <w:r w:rsidR="00203D67">
        <w:t xml:space="preserve">je </w:t>
      </w:r>
      <w:r w:rsidR="00207B4C">
        <w:t>však velmi malý</w:t>
      </w:r>
      <w:r w:rsidR="00BA211E">
        <w:t xml:space="preserve">. </w:t>
      </w:r>
    </w:p>
    <w:p w14:paraId="40D1F178" w14:textId="77777777" w:rsidR="009A04ED" w:rsidRDefault="00207B4C" w:rsidP="00895024">
      <w:pPr>
        <w:numPr>
          <w:ilvl w:val="0"/>
          <w:numId w:val="1"/>
        </w:numPr>
        <w:spacing w:after="120" w:line="312" w:lineRule="auto"/>
        <w:jc w:val="both"/>
      </w:pPr>
      <w:r>
        <w:t>Mezi lidmi se základním vzděláním je i</w:t>
      </w:r>
      <w:r w:rsidR="004223BA">
        <w:t>nformovanost o elektronické evidenc</w:t>
      </w:r>
      <w:r>
        <w:t>i</w:t>
      </w:r>
      <w:r w:rsidR="004223BA">
        <w:t xml:space="preserve"> tržeb </w:t>
      </w:r>
      <w:r>
        <w:t>významně nižší než u lidí z ostatních vzdělanostních skupin</w:t>
      </w:r>
      <w:r w:rsidR="004223BA">
        <w:t>.</w:t>
      </w:r>
    </w:p>
    <w:p w14:paraId="512951B9" w14:textId="77777777" w:rsidR="00BA211E" w:rsidRDefault="00BA211E" w:rsidP="00895024">
      <w:pPr>
        <w:numPr>
          <w:ilvl w:val="0"/>
          <w:numId w:val="1"/>
        </w:numPr>
        <w:spacing w:after="120" w:line="312" w:lineRule="auto"/>
        <w:jc w:val="both"/>
      </w:pPr>
      <w:r>
        <w:t xml:space="preserve">Mezi lidmi různého věku mají relativně nejnižší povědomí o elektronické evidenci tržeb lidé mladší 30 let, přesto i mezi nimi tento pojem zná </w:t>
      </w:r>
      <w:r w:rsidR="00DE22AA">
        <w:t xml:space="preserve">jasná </w:t>
      </w:r>
      <w:r>
        <w:t xml:space="preserve">většina. </w:t>
      </w:r>
    </w:p>
    <w:p w14:paraId="39310AD6" w14:textId="77777777" w:rsidR="00E36992" w:rsidRDefault="00E36992" w:rsidP="00895024">
      <w:pPr>
        <w:numPr>
          <w:ilvl w:val="0"/>
          <w:numId w:val="1"/>
        </w:numPr>
        <w:spacing w:after="120" w:line="312" w:lineRule="auto"/>
        <w:jc w:val="both"/>
      </w:pPr>
      <w:r>
        <w:t xml:space="preserve">Poněkud méně často o elektronických pokladnách slyšeli příznivci </w:t>
      </w:r>
      <w:r w:rsidR="00207B4C">
        <w:t>Strany přímé demokracie</w:t>
      </w:r>
      <w:r>
        <w:t>.</w:t>
      </w:r>
    </w:p>
    <w:p w14:paraId="29798B69" w14:textId="77777777" w:rsidR="009A04ED" w:rsidRDefault="009A04ED" w:rsidP="009A04ED">
      <w:pPr>
        <w:spacing w:after="120" w:line="312" w:lineRule="auto"/>
        <w:jc w:val="both"/>
      </w:pPr>
    </w:p>
    <w:p w14:paraId="36E6028D" w14:textId="77777777" w:rsidR="009A04ED" w:rsidRDefault="009A04ED" w:rsidP="009A04ED">
      <w:r>
        <w:br w:type="page"/>
      </w:r>
      <w:r w:rsidR="00067CE2">
        <w:rPr>
          <w:noProof/>
        </w:rPr>
        <w:drawing>
          <wp:inline distT="0" distB="0" distL="0" distR="0" wp14:anchorId="191D749D" wp14:editId="1A0F78F7">
            <wp:extent cx="5870575" cy="3627120"/>
            <wp:effectExtent l="0" t="0" r="0" b="0"/>
            <wp:docPr id="28" name="objekt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0FCB909" w14:textId="77777777" w:rsidR="0051003C" w:rsidRDefault="0051003C" w:rsidP="0051003C">
      <w:pPr>
        <w:pStyle w:val="Zkladntext3"/>
        <w:spacing w:after="120" w:line="240" w:lineRule="auto"/>
        <w:rPr>
          <w:b w:val="0"/>
          <w:i w:val="0"/>
          <w:sz w:val="20"/>
          <w:szCs w:val="20"/>
        </w:rPr>
      </w:pPr>
      <w:r>
        <w:rPr>
          <w:b w:val="0"/>
          <w:i w:val="0"/>
          <w:sz w:val="20"/>
          <w:szCs w:val="20"/>
        </w:rPr>
        <w:t>Pramen: EET II., STEM, květen 2016, 1010 respondentů</w:t>
      </w:r>
    </w:p>
    <w:p w14:paraId="6A5351A1" w14:textId="77777777" w:rsidR="00BE07A3" w:rsidRDefault="00BE07A3" w:rsidP="009A04ED"/>
    <w:p w14:paraId="196F72A5" w14:textId="77777777" w:rsidR="0051003C" w:rsidRDefault="0051003C" w:rsidP="0051003C">
      <w:r>
        <w:rPr>
          <w:noProof/>
        </w:rPr>
        <w:drawing>
          <wp:inline distT="0" distB="0" distL="0" distR="0" wp14:anchorId="5EA04B9C" wp14:editId="46817C22">
            <wp:extent cx="5870575" cy="3627120"/>
            <wp:effectExtent l="0" t="0" r="0" b="0"/>
            <wp:docPr id="9" name="objekt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38DDFA8" w14:textId="77777777" w:rsidR="0051003C" w:rsidRDefault="0051003C" w:rsidP="0051003C">
      <w:pPr>
        <w:pStyle w:val="Zkladntext3"/>
        <w:spacing w:after="120" w:line="240" w:lineRule="auto"/>
        <w:rPr>
          <w:b w:val="0"/>
          <w:i w:val="0"/>
          <w:sz w:val="20"/>
          <w:szCs w:val="20"/>
        </w:rPr>
      </w:pPr>
      <w:r>
        <w:rPr>
          <w:b w:val="0"/>
          <w:i w:val="0"/>
          <w:sz w:val="20"/>
          <w:szCs w:val="20"/>
        </w:rPr>
        <w:t>Pramen: EET II., STEM, květen 2016, 1010 respondentů</w:t>
      </w:r>
    </w:p>
    <w:p w14:paraId="54CA2751" w14:textId="77777777" w:rsidR="0051003C" w:rsidRDefault="0051003C" w:rsidP="0051003C"/>
    <w:p w14:paraId="6A532EDB" w14:textId="77777777" w:rsidR="00ED6543" w:rsidRDefault="00ED6543" w:rsidP="00ED6543">
      <w:r>
        <w:rPr>
          <w:noProof/>
        </w:rPr>
        <w:drawing>
          <wp:inline distT="0" distB="0" distL="0" distR="0" wp14:anchorId="708403BC" wp14:editId="139025E8">
            <wp:extent cx="5870575" cy="3627120"/>
            <wp:effectExtent l="0" t="0" r="0" b="0"/>
            <wp:docPr id="14" name="objekt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4397EFF" w14:textId="77777777" w:rsidR="006227E9" w:rsidRDefault="006227E9" w:rsidP="00ED6543">
      <w:pPr>
        <w:pStyle w:val="Zkladntext3"/>
        <w:spacing w:after="120" w:line="240" w:lineRule="auto"/>
        <w:rPr>
          <w:b w:val="0"/>
          <w:i w:val="0"/>
          <w:sz w:val="20"/>
          <w:szCs w:val="20"/>
        </w:rPr>
      </w:pPr>
    </w:p>
    <w:p w14:paraId="7CC9C4A4" w14:textId="77777777" w:rsidR="00ED6543" w:rsidRDefault="00ED6543" w:rsidP="00ED6543">
      <w:pPr>
        <w:pStyle w:val="Zkladntext3"/>
        <w:spacing w:after="120" w:line="240" w:lineRule="auto"/>
        <w:rPr>
          <w:b w:val="0"/>
          <w:i w:val="0"/>
          <w:sz w:val="20"/>
          <w:szCs w:val="20"/>
        </w:rPr>
      </w:pPr>
      <w:r>
        <w:rPr>
          <w:b w:val="0"/>
          <w:i w:val="0"/>
          <w:sz w:val="20"/>
          <w:szCs w:val="20"/>
        </w:rPr>
        <w:t>Pramen: EET II., STEM, květen 2016, 1010 respondentů</w:t>
      </w:r>
    </w:p>
    <w:p w14:paraId="6389B6C5" w14:textId="77777777" w:rsidR="00ED6543" w:rsidRDefault="00ED6543" w:rsidP="00ED6543"/>
    <w:p w14:paraId="353592B0" w14:textId="77777777" w:rsidR="0051003C" w:rsidRDefault="0051003C" w:rsidP="009A04ED"/>
    <w:p w14:paraId="63492BB9" w14:textId="77777777" w:rsidR="009A04ED" w:rsidRDefault="009A04ED" w:rsidP="00B83CDC">
      <w:pPr>
        <w:spacing w:line="360" w:lineRule="auto"/>
        <w:jc w:val="both"/>
      </w:pPr>
      <w:r>
        <w:br w:type="page"/>
      </w:r>
    </w:p>
    <w:p w14:paraId="091F447B" w14:textId="77777777" w:rsidR="00E43301" w:rsidRPr="00597C6D" w:rsidRDefault="006227E9" w:rsidP="007B7FEB">
      <w:pPr>
        <w:pStyle w:val="Zkladntext"/>
        <w:numPr>
          <w:ilvl w:val="0"/>
          <w:numId w:val="4"/>
        </w:numPr>
        <w:shd w:val="clear" w:color="auto" w:fill="FFFF99"/>
        <w:spacing w:after="120" w:line="312" w:lineRule="auto"/>
        <w:jc w:val="center"/>
        <w:rPr>
          <w:b/>
          <w:i w:val="0"/>
          <w:sz w:val="32"/>
          <w:szCs w:val="32"/>
        </w:rPr>
      </w:pPr>
      <w:r>
        <w:rPr>
          <w:b/>
          <w:i w:val="0"/>
          <w:sz w:val="32"/>
          <w:szCs w:val="32"/>
        </w:rPr>
        <w:t>Třípětinová</w:t>
      </w:r>
      <w:r w:rsidR="00305994">
        <w:rPr>
          <w:b/>
          <w:i w:val="0"/>
          <w:sz w:val="32"/>
          <w:szCs w:val="32"/>
        </w:rPr>
        <w:t xml:space="preserve"> </w:t>
      </w:r>
      <w:r w:rsidR="00321596">
        <w:rPr>
          <w:b/>
          <w:i w:val="0"/>
          <w:sz w:val="32"/>
          <w:szCs w:val="32"/>
        </w:rPr>
        <w:t xml:space="preserve">většina dotázaných se domnívá, že zavedení elektronické evidence tržeb přispěje ke zvýšení důvěry zákazníků. </w:t>
      </w:r>
      <w:r>
        <w:rPr>
          <w:b/>
          <w:i w:val="0"/>
          <w:sz w:val="32"/>
          <w:szCs w:val="32"/>
        </w:rPr>
        <w:t>Tento podíl je mírně nižší než vloni.</w:t>
      </w:r>
    </w:p>
    <w:p w14:paraId="0F92E838" w14:textId="77777777" w:rsidR="00E43301" w:rsidRDefault="00D77605" w:rsidP="00E43301">
      <w:pPr>
        <w:jc w:val="center"/>
        <w:rPr>
          <w:b/>
          <w:iCs/>
          <w:color w:val="FF0000"/>
          <w:sz w:val="32"/>
        </w:rPr>
      </w:pPr>
      <w:r>
        <w:rPr>
          <w:b/>
          <w:iCs/>
          <w:color w:val="FF0000"/>
          <w:sz w:val="32"/>
        </w:rPr>
        <w:pict w14:anchorId="1C0AEA42">
          <v:rect id="_x0000_i1032" style="width:453.6pt;height:2pt" o:hralign="center" o:hrstd="t" o:hrnoshade="t" o:hr="t" fillcolor="#603" stroked="f"/>
        </w:pict>
      </w:r>
    </w:p>
    <w:p w14:paraId="11E37567" w14:textId="77777777" w:rsidR="00B83CDC" w:rsidRDefault="00B83CDC" w:rsidP="00C24D11">
      <w:pPr>
        <w:pStyle w:val="Zkladntext3"/>
        <w:spacing w:line="240" w:lineRule="auto"/>
        <w:rPr>
          <w:bCs/>
          <w:iCs w:val="0"/>
        </w:rPr>
      </w:pPr>
    </w:p>
    <w:p w14:paraId="5E1BA7B7" w14:textId="77777777" w:rsidR="009A04ED" w:rsidRDefault="009A04ED" w:rsidP="009A04ED">
      <w:pPr>
        <w:pStyle w:val="Zkladntext3"/>
        <w:spacing w:line="240" w:lineRule="auto"/>
        <w:rPr>
          <w:b w:val="0"/>
        </w:rPr>
      </w:pPr>
      <w:r w:rsidRPr="009A04ED">
        <w:rPr>
          <w:b w:val="0"/>
        </w:rPr>
        <w:t>„M</w:t>
      </w:r>
      <w:r>
        <w:rPr>
          <w:b w:val="0"/>
        </w:rPr>
        <w:t xml:space="preserve">yslíte si, že zavedení elektronické evidence tržeb postupně přispěje ke zvýšení </w:t>
      </w:r>
      <w:r w:rsidRPr="009A04ED">
        <w:rPr>
          <w:b w:val="0"/>
          <w:u w:val="single"/>
        </w:rPr>
        <w:t>důvěry</w:t>
      </w:r>
      <w:r>
        <w:rPr>
          <w:b w:val="0"/>
        </w:rPr>
        <w:t xml:space="preserve"> zákazníků k obchodníkům a poskytovatelům služeb</w:t>
      </w:r>
      <w:r w:rsidRPr="009A04ED">
        <w:rPr>
          <w:b w:val="0"/>
        </w:rPr>
        <w:t>?“</w:t>
      </w:r>
    </w:p>
    <w:p w14:paraId="65FDF344" w14:textId="77777777" w:rsidR="002378FC" w:rsidRPr="002378FC" w:rsidRDefault="002378FC" w:rsidP="002378FC">
      <w:pPr>
        <w:pStyle w:val="Zkladntext3"/>
        <w:spacing w:before="120" w:line="240" w:lineRule="auto"/>
        <w:rPr>
          <w:b w:val="0"/>
          <w:i w:val="0"/>
          <w:sz w:val="25"/>
          <w:szCs w:val="25"/>
        </w:rPr>
      </w:pPr>
      <w:r w:rsidRPr="002378FC">
        <w:rPr>
          <w:b w:val="0"/>
          <w:i w:val="0"/>
          <w:sz w:val="25"/>
          <w:szCs w:val="25"/>
        </w:rPr>
        <w:t xml:space="preserve">(Počet respondentů: </w:t>
      </w:r>
      <w:r w:rsidR="00B45E44">
        <w:rPr>
          <w:b w:val="0"/>
          <w:i w:val="0"/>
          <w:sz w:val="25"/>
          <w:szCs w:val="25"/>
        </w:rPr>
        <w:t xml:space="preserve">2015/6 – </w:t>
      </w:r>
      <w:r w:rsidR="006943D7">
        <w:rPr>
          <w:b w:val="0"/>
          <w:i w:val="0"/>
          <w:sz w:val="25"/>
          <w:szCs w:val="25"/>
        </w:rPr>
        <w:t>819</w:t>
      </w:r>
      <w:r w:rsidR="00B45E44">
        <w:rPr>
          <w:b w:val="0"/>
          <w:i w:val="0"/>
          <w:sz w:val="25"/>
          <w:szCs w:val="25"/>
        </w:rPr>
        <w:t xml:space="preserve">, 2016/5 – </w:t>
      </w:r>
      <w:r w:rsidR="006227E9">
        <w:rPr>
          <w:b w:val="0"/>
          <w:i w:val="0"/>
          <w:sz w:val="25"/>
          <w:szCs w:val="25"/>
        </w:rPr>
        <w:t>931</w:t>
      </w:r>
      <w:r w:rsidRPr="002378FC">
        <w:rPr>
          <w:b w:val="0"/>
          <w:i w:val="0"/>
          <w:sz w:val="25"/>
          <w:szCs w:val="25"/>
        </w:rPr>
        <w:t>)</w:t>
      </w:r>
    </w:p>
    <w:p w14:paraId="5A6A6519" w14:textId="77777777" w:rsidR="00B45E44" w:rsidRDefault="00B45E44" w:rsidP="00B45E44">
      <w:pPr>
        <w:pStyle w:val="Zkladntext3"/>
        <w:spacing w:after="120" w:line="240" w:lineRule="auto"/>
      </w:pPr>
      <w:r>
        <w:rPr>
          <w:noProof/>
          <w:lang w:val="cs-CZ" w:eastAsia="cs-CZ"/>
        </w:rPr>
        <w:drawing>
          <wp:inline distT="0" distB="0" distL="0" distR="0" wp14:anchorId="69C9A98F" wp14:editId="787ACD01">
            <wp:extent cx="5770709" cy="3772861"/>
            <wp:effectExtent l="0" t="0" r="0" b="0"/>
            <wp:docPr id="7"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EB5516A" w14:textId="77777777" w:rsidR="00B45E44" w:rsidRDefault="00B45E44" w:rsidP="00B45E44">
      <w:pPr>
        <w:pStyle w:val="Zkladntext3"/>
        <w:spacing w:line="240" w:lineRule="auto"/>
        <w:rPr>
          <w:sz w:val="25"/>
          <w:szCs w:val="25"/>
        </w:rPr>
      </w:pPr>
    </w:p>
    <w:p w14:paraId="4D012779" w14:textId="77777777" w:rsidR="00B45E44" w:rsidRPr="00B45E44" w:rsidRDefault="00B45E44" w:rsidP="009A04ED">
      <w:pPr>
        <w:pStyle w:val="Zkladntext3"/>
        <w:spacing w:line="240" w:lineRule="auto"/>
        <w:rPr>
          <w:b w:val="0"/>
        </w:rPr>
      </w:pPr>
    </w:p>
    <w:p w14:paraId="4054303D" w14:textId="77777777" w:rsidR="00C67B9D" w:rsidRPr="00A660DA" w:rsidRDefault="00C67B9D" w:rsidP="00C67B9D">
      <w:pPr>
        <w:spacing w:after="120"/>
        <w:jc w:val="center"/>
        <w:rPr>
          <w:i/>
        </w:rPr>
      </w:pPr>
    </w:p>
    <w:p w14:paraId="78CB617C" w14:textId="77777777" w:rsidR="000C0898" w:rsidRDefault="00275ECC" w:rsidP="00895024">
      <w:pPr>
        <w:numPr>
          <w:ilvl w:val="0"/>
          <w:numId w:val="1"/>
        </w:numPr>
        <w:spacing w:after="120" w:line="360" w:lineRule="auto"/>
        <w:jc w:val="both"/>
      </w:pPr>
      <w:r>
        <w:t>Větší očekávání ve smyslu zlepšení důvěryhodnosti obchodníků a poskytovatelů služeb mají od elektronické evidence tržeb muži a lidé starší 60 let</w:t>
      </w:r>
      <w:r w:rsidR="00213338">
        <w:t>, dále hlavně stoupenci hnutí ANO a ČSSD</w:t>
      </w:r>
      <w:r>
        <w:t>.</w:t>
      </w:r>
    </w:p>
    <w:p w14:paraId="2D67BD45" w14:textId="77777777" w:rsidR="00A52802" w:rsidRDefault="00A52802" w:rsidP="00895024">
      <w:pPr>
        <w:numPr>
          <w:ilvl w:val="0"/>
          <w:numId w:val="1"/>
        </w:numPr>
        <w:spacing w:after="120" w:line="360" w:lineRule="auto"/>
        <w:jc w:val="both"/>
      </w:pPr>
      <w:r>
        <w:t xml:space="preserve">Lidé, kteří sami nebo někdo z rodiny podnikají, častěji pochybují o tom, že se po zavedení elektronické evidence tržeb zvýší důvěra zákazníků k obchodníkům a poskytovatelům služeb. </w:t>
      </w:r>
    </w:p>
    <w:p w14:paraId="7FD4D734" w14:textId="77777777" w:rsidR="00427B54" w:rsidRDefault="00C24D11" w:rsidP="00427B54">
      <w:r>
        <w:br w:type="page"/>
      </w:r>
    </w:p>
    <w:p w14:paraId="2350EF9C" w14:textId="77777777" w:rsidR="006227E9" w:rsidRDefault="006227E9" w:rsidP="006227E9">
      <w:pPr>
        <w:pStyle w:val="Zkladntext3"/>
        <w:spacing w:after="120" w:line="240" w:lineRule="auto"/>
        <w:rPr>
          <w:sz w:val="25"/>
          <w:szCs w:val="25"/>
        </w:rPr>
      </w:pPr>
      <w:r>
        <w:rPr>
          <w:noProof/>
          <w:lang w:val="cs-CZ" w:eastAsia="cs-CZ"/>
        </w:rPr>
        <w:drawing>
          <wp:inline distT="0" distB="0" distL="0" distR="0" wp14:anchorId="1A179B72" wp14:editId="16B33677">
            <wp:extent cx="5770709" cy="3995697"/>
            <wp:effectExtent l="0" t="0" r="0" b="0"/>
            <wp:docPr id="16"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305081D" w14:textId="77777777" w:rsidR="006227E9" w:rsidRDefault="006227E9" w:rsidP="006227E9">
      <w:pPr>
        <w:pStyle w:val="Zkladntext3"/>
        <w:spacing w:after="120" w:line="240" w:lineRule="auto"/>
        <w:rPr>
          <w:b w:val="0"/>
          <w:i w:val="0"/>
          <w:sz w:val="20"/>
          <w:szCs w:val="20"/>
        </w:rPr>
      </w:pPr>
      <w:r>
        <w:rPr>
          <w:b w:val="0"/>
          <w:i w:val="0"/>
          <w:sz w:val="20"/>
          <w:szCs w:val="20"/>
        </w:rPr>
        <w:t>Pramen: EET II., STEM, květen 2016, 1010 respondentů</w:t>
      </w:r>
      <w:r w:rsidR="00213338">
        <w:rPr>
          <w:b w:val="0"/>
          <w:i w:val="0"/>
          <w:sz w:val="20"/>
          <w:szCs w:val="20"/>
        </w:rPr>
        <w:t xml:space="preserve"> (931 respondentů)</w:t>
      </w:r>
    </w:p>
    <w:p w14:paraId="23153593" w14:textId="77777777" w:rsidR="006227E9" w:rsidRDefault="006227E9" w:rsidP="006227E9">
      <w:pPr>
        <w:pStyle w:val="Zkladntext3"/>
        <w:spacing w:after="120" w:line="240" w:lineRule="auto"/>
        <w:rPr>
          <w:sz w:val="25"/>
          <w:szCs w:val="25"/>
        </w:rPr>
      </w:pPr>
    </w:p>
    <w:p w14:paraId="7FB517BF" w14:textId="77777777" w:rsidR="00213338" w:rsidRDefault="00213338" w:rsidP="00213338">
      <w:pPr>
        <w:pStyle w:val="Zkladntext3"/>
        <w:spacing w:after="120" w:line="240" w:lineRule="auto"/>
        <w:rPr>
          <w:sz w:val="25"/>
          <w:szCs w:val="25"/>
        </w:rPr>
      </w:pPr>
      <w:r>
        <w:rPr>
          <w:noProof/>
          <w:lang w:val="cs-CZ" w:eastAsia="cs-CZ"/>
        </w:rPr>
        <w:drawing>
          <wp:inline distT="0" distB="0" distL="0" distR="0" wp14:anchorId="743D22BB" wp14:editId="686A6647">
            <wp:extent cx="5770709" cy="3995697"/>
            <wp:effectExtent l="0" t="0" r="0" b="0"/>
            <wp:docPr id="21"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15D084D" w14:textId="77777777" w:rsidR="00213338" w:rsidRDefault="00213338" w:rsidP="00213338">
      <w:pPr>
        <w:pStyle w:val="Zkladntext3"/>
        <w:spacing w:after="120" w:line="240" w:lineRule="auto"/>
        <w:rPr>
          <w:b w:val="0"/>
          <w:i w:val="0"/>
          <w:sz w:val="20"/>
          <w:szCs w:val="20"/>
        </w:rPr>
      </w:pPr>
      <w:r>
        <w:rPr>
          <w:b w:val="0"/>
          <w:i w:val="0"/>
          <w:sz w:val="20"/>
          <w:szCs w:val="20"/>
        </w:rPr>
        <w:t>Pramen: EET II., STEM, květen 2016, 1010 respondentů (931 respondentů)</w:t>
      </w:r>
    </w:p>
    <w:p w14:paraId="49144D03" w14:textId="77777777" w:rsidR="00213338" w:rsidRDefault="00213338" w:rsidP="00213338">
      <w:pPr>
        <w:pStyle w:val="Zkladntext3"/>
        <w:spacing w:after="120" w:line="240" w:lineRule="auto"/>
        <w:rPr>
          <w:sz w:val="25"/>
          <w:szCs w:val="25"/>
        </w:rPr>
      </w:pPr>
      <w:r>
        <w:rPr>
          <w:noProof/>
          <w:lang w:val="cs-CZ" w:eastAsia="cs-CZ"/>
        </w:rPr>
        <w:drawing>
          <wp:inline distT="0" distB="0" distL="0" distR="0" wp14:anchorId="54E2A5DB" wp14:editId="1601AA43">
            <wp:extent cx="5770709" cy="3926541"/>
            <wp:effectExtent l="0" t="0" r="0" b="0"/>
            <wp:docPr id="23"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ADB3A2B" w14:textId="77777777" w:rsidR="00213338" w:rsidRDefault="00213338" w:rsidP="00213338">
      <w:pPr>
        <w:pStyle w:val="Zkladntext3"/>
        <w:spacing w:after="120" w:line="240" w:lineRule="auto"/>
        <w:rPr>
          <w:b w:val="0"/>
          <w:i w:val="0"/>
          <w:sz w:val="20"/>
          <w:szCs w:val="20"/>
        </w:rPr>
      </w:pPr>
      <w:r>
        <w:rPr>
          <w:b w:val="0"/>
          <w:i w:val="0"/>
          <w:sz w:val="20"/>
          <w:szCs w:val="20"/>
        </w:rPr>
        <w:t>Pramen: EET II., STEM, květen 2016, 1010 respondentů (931 respondentů)</w:t>
      </w:r>
    </w:p>
    <w:p w14:paraId="37534170" w14:textId="77777777" w:rsidR="006B1ABE" w:rsidRPr="00BA211E" w:rsidRDefault="006B1ABE" w:rsidP="006B1ABE">
      <w:pPr>
        <w:rPr>
          <w:sz w:val="20"/>
          <w:szCs w:val="20"/>
        </w:rPr>
      </w:pPr>
      <w:r w:rsidRPr="00BA211E">
        <w:rPr>
          <w:sz w:val="20"/>
          <w:szCs w:val="20"/>
        </w:rPr>
        <w:t>Poznámka: Údaje pro menší parlamentní strany jsou vzhledem k počtu jejich sympatizantů pouze orientační.</w:t>
      </w:r>
    </w:p>
    <w:p w14:paraId="100239E9" w14:textId="77777777" w:rsidR="00213338" w:rsidRDefault="00213338" w:rsidP="006227E9">
      <w:pPr>
        <w:pStyle w:val="Zkladntext3"/>
        <w:spacing w:after="120" w:line="240" w:lineRule="auto"/>
        <w:rPr>
          <w:sz w:val="25"/>
          <w:szCs w:val="25"/>
        </w:rPr>
      </w:pPr>
    </w:p>
    <w:p w14:paraId="4074596A" w14:textId="77777777" w:rsidR="00A52802" w:rsidRDefault="00A52802" w:rsidP="00A52802">
      <w:pPr>
        <w:pStyle w:val="Zkladntext3"/>
        <w:spacing w:after="120" w:line="240" w:lineRule="auto"/>
        <w:rPr>
          <w:sz w:val="25"/>
          <w:szCs w:val="25"/>
        </w:rPr>
      </w:pPr>
      <w:r>
        <w:rPr>
          <w:noProof/>
          <w:lang w:val="cs-CZ" w:eastAsia="cs-CZ"/>
        </w:rPr>
        <w:drawing>
          <wp:inline distT="0" distB="0" distL="0" distR="0" wp14:anchorId="58ED8ECD" wp14:editId="2C8C2CBC">
            <wp:extent cx="5770709" cy="3911173"/>
            <wp:effectExtent l="0" t="0" r="0" b="0"/>
            <wp:docPr id="43"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4A971312" w14:textId="77777777" w:rsidR="00A52802" w:rsidRPr="004E55CB" w:rsidRDefault="00A52802" w:rsidP="006227E9">
      <w:pPr>
        <w:pStyle w:val="Zkladntext3"/>
        <w:spacing w:after="120" w:line="240" w:lineRule="auto"/>
        <w:rPr>
          <w:sz w:val="25"/>
          <w:szCs w:val="25"/>
        </w:rPr>
      </w:pPr>
      <w:r>
        <w:rPr>
          <w:b w:val="0"/>
          <w:i w:val="0"/>
          <w:sz w:val="20"/>
          <w:szCs w:val="20"/>
        </w:rPr>
        <w:t>Pramen: EET II., STEM, květen 2016, 1010 respondentů (931 respondentů)</w:t>
      </w:r>
    </w:p>
    <w:p w14:paraId="20C37208" w14:textId="77777777" w:rsidR="006227E9" w:rsidRPr="005E2F62" w:rsidRDefault="006227E9" w:rsidP="006227E9">
      <w:pPr>
        <w:pStyle w:val="Zkladntext3"/>
        <w:spacing w:after="120" w:line="240" w:lineRule="auto"/>
        <w:rPr>
          <w:i w:val="0"/>
          <w:sz w:val="2"/>
          <w:szCs w:val="2"/>
        </w:rPr>
      </w:pPr>
      <w:r>
        <w:rPr>
          <w:i w:val="0"/>
        </w:rPr>
        <w:br w:type="page"/>
      </w:r>
    </w:p>
    <w:p w14:paraId="04FA643E" w14:textId="77777777" w:rsidR="00427B54" w:rsidRPr="00597C6D" w:rsidRDefault="00F57A96" w:rsidP="007B7FEB">
      <w:pPr>
        <w:pStyle w:val="Zkladntext"/>
        <w:numPr>
          <w:ilvl w:val="0"/>
          <w:numId w:val="4"/>
        </w:numPr>
        <w:shd w:val="clear" w:color="auto" w:fill="FFFF99"/>
        <w:spacing w:after="120" w:line="312" w:lineRule="auto"/>
        <w:jc w:val="center"/>
        <w:rPr>
          <w:b/>
          <w:i w:val="0"/>
          <w:sz w:val="32"/>
          <w:szCs w:val="32"/>
        </w:rPr>
      </w:pPr>
      <w:r>
        <w:rPr>
          <w:b/>
          <w:i w:val="0"/>
          <w:sz w:val="32"/>
          <w:szCs w:val="32"/>
        </w:rPr>
        <w:t>Dvoutřetinová</w:t>
      </w:r>
      <w:r w:rsidR="00305994">
        <w:rPr>
          <w:b/>
          <w:i w:val="0"/>
          <w:sz w:val="32"/>
          <w:szCs w:val="32"/>
        </w:rPr>
        <w:t xml:space="preserve"> většina lidí si myslí, že elektronická evidence tržeb zlepší výběr daní od obchodníků a poskytovatelů služeb</w:t>
      </w:r>
      <w:r w:rsidR="00427B54">
        <w:rPr>
          <w:b/>
          <w:i w:val="0"/>
          <w:sz w:val="32"/>
          <w:szCs w:val="32"/>
        </w:rPr>
        <w:t>.</w:t>
      </w:r>
      <w:r>
        <w:rPr>
          <w:b/>
          <w:i w:val="0"/>
          <w:sz w:val="32"/>
          <w:szCs w:val="32"/>
        </w:rPr>
        <w:t xml:space="preserve"> Oproti roku 2015 je uvedený podíl nižší </w:t>
      </w:r>
      <w:r>
        <w:rPr>
          <w:b/>
          <w:i w:val="0"/>
          <w:sz w:val="32"/>
          <w:szCs w:val="32"/>
        </w:rPr>
        <w:br/>
        <w:t>o 7 procentních bodů.</w:t>
      </w:r>
    </w:p>
    <w:p w14:paraId="14E44F01" w14:textId="77777777" w:rsidR="00427B54" w:rsidRDefault="00D77605" w:rsidP="00427B54">
      <w:pPr>
        <w:jc w:val="center"/>
        <w:rPr>
          <w:b/>
          <w:iCs/>
          <w:color w:val="FF0000"/>
          <w:sz w:val="32"/>
        </w:rPr>
      </w:pPr>
      <w:r>
        <w:rPr>
          <w:b/>
          <w:iCs/>
          <w:color w:val="FF0000"/>
          <w:sz w:val="32"/>
        </w:rPr>
        <w:pict w14:anchorId="189CEF1B">
          <v:rect id="_x0000_i1033" style="width:453.6pt;height:2pt" o:hralign="center" o:hrstd="t" o:hrnoshade="t" o:hr="t" fillcolor="#603" stroked="f"/>
        </w:pict>
      </w:r>
    </w:p>
    <w:p w14:paraId="15B7A0D9" w14:textId="77777777" w:rsidR="00427B54" w:rsidRDefault="00427B54" w:rsidP="00427B54">
      <w:pPr>
        <w:pStyle w:val="Zkladntext3"/>
        <w:spacing w:line="240" w:lineRule="auto"/>
        <w:rPr>
          <w:bCs/>
          <w:iCs w:val="0"/>
        </w:rPr>
      </w:pPr>
    </w:p>
    <w:p w14:paraId="40A2633F" w14:textId="77777777" w:rsidR="00427B54" w:rsidRDefault="00427B54" w:rsidP="00427B54">
      <w:pPr>
        <w:pStyle w:val="Zkladntext3"/>
        <w:spacing w:line="240" w:lineRule="auto"/>
        <w:rPr>
          <w:b w:val="0"/>
        </w:rPr>
      </w:pPr>
      <w:r w:rsidRPr="009A04ED">
        <w:rPr>
          <w:b w:val="0"/>
        </w:rPr>
        <w:t>„M</w:t>
      </w:r>
      <w:r>
        <w:rPr>
          <w:b w:val="0"/>
        </w:rPr>
        <w:t xml:space="preserve">yslíte si, že zavedení elektronické evidence tržeb postupně přispěje </w:t>
      </w:r>
      <w:r w:rsidR="00844E91">
        <w:rPr>
          <w:b w:val="0"/>
        </w:rPr>
        <w:br/>
      </w:r>
      <w:r>
        <w:rPr>
          <w:b w:val="0"/>
        </w:rPr>
        <w:t xml:space="preserve">ke zlepšení </w:t>
      </w:r>
      <w:r>
        <w:rPr>
          <w:b w:val="0"/>
          <w:u w:val="single"/>
        </w:rPr>
        <w:t>výběru</w:t>
      </w:r>
      <w:r>
        <w:rPr>
          <w:b w:val="0"/>
        </w:rPr>
        <w:t xml:space="preserve"> daní od obchodníků a poskytovatelů služeb</w:t>
      </w:r>
      <w:r w:rsidRPr="009A04ED">
        <w:rPr>
          <w:b w:val="0"/>
        </w:rPr>
        <w:t>?“</w:t>
      </w:r>
    </w:p>
    <w:p w14:paraId="30C64D7E" w14:textId="77777777" w:rsidR="007B7FEB" w:rsidRPr="002378FC" w:rsidRDefault="007B7FEB" w:rsidP="007B7FEB">
      <w:pPr>
        <w:pStyle w:val="Zkladntext3"/>
        <w:spacing w:before="120" w:line="240" w:lineRule="auto"/>
        <w:rPr>
          <w:b w:val="0"/>
          <w:i w:val="0"/>
          <w:sz w:val="25"/>
          <w:szCs w:val="25"/>
        </w:rPr>
      </w:pPr>
      <w:r w:rsidRPr="002378FC">
        <w:rPr>
          <w:b w:val="0"/>
          <w:i w:val="0"/>
          <w:sz w:val="25"/>
          <w:szCs w:val="25"/>
        </w:rPr>
        <w:t xml:space="preserve">(Počet respondentů: </w:t>
      </w:r>
      <w:r>
        <w:rPr>
          <w:b w:val="0"/>
          <w:i w:val="0"/>
          <w:sz w:val="25"/>
          <w:szCs w:val="25"/>
        </w:rPr>
        <w:t xml:space="preserve">2015/6 – 819, 2016/5 – </w:t>
      </w:r>
      <w:r w:rsidR="00F57A96">
        <w:rPr>
          <w:b w:val="0"/>
          <w:i w:val="0"/>
          <w:sz w:val="25"/>
          <w:szCs w:val="25"/>
        </w:rPr>
        <w:t>931</w:t>
      </w:r>
      <w:r w:rsidRPr="002378FC">
        <w:rPr>
          <w:b w:val="0"/>
          <w:i w:val="0"/>
          <w:sz w:val="25"/>
          <w:szCs w:val="25"/>
        </w:rPr>
        <w:t>)</w:t>
      </w:r>
    </w:p>
    <w:p w14:paraId="429799F0" w14:textId="77777777" w:rsidR="007B7FEB" w:rsidRDefault="007B7FEB" w:rsidP="007B7FEB">
      <w:pPr>
        <w:pStyle w:val="Zkladntext3"/>
        <w:spacing w:after="120" w:line="240" w:lineRule="auto"/>
      </w:pPr>
      <w:r>
        <w:rPr>
          <w:noProof/>
          <w:lang w:val="cs-CZ" w:eastAsia="cs-CZ"/>
        </w:rPr>
        <w:drawing>
          <wp:inline distT="0" distB="0" distL="0" distR="0" wp14:anchorId="578DAB3C" wp14:editId="70EF0120">
            <wp:extent cx="5770709" cy="3772861"/>
            <wp:effectExtent l="0" t="0" r="0" b="0"/>
            <wp:docPr id="8"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CF96ABF" w14:textId="77777777" w:rsidR="00427B54" w:rsidRDefault="00427B54" w:rsidP="00427B54">
      <w:pPr>
        <w:pStyle w:val="Zkladntext3"/>
        <w:spacing w:line="240" w:lineRule="auto"/>
        <w:rPr>
          <w:bCs/>
          <w:iCs w:val="0"/>
        </w:rPr>
      </w:pPr>
    </w:p>
    <w:p w14:paraId="17810412" w14:textId="77777777" w:rsidR="00204610" w:rsidRDefault="00204610" w:rsidP="00A47A67">
      <w:pPr>
        <w:numPr>
          <w:ilvl w:val="0"/>
          <w:numId w:val="1"/>
        </w:numPr>
        <w:spacing w:after="60" w:line="312" w:lineRule="auto"/>
        <w:jc w:val="both"/>
      </w:pPr>
      <w:r>
        <w:t>Lidé starší 60 let nejčastěji připisují elektronickým pokladnám pozitivní efekt ve smyslu zvýšeného výběru daní.</w:t>
      </w:r>
    </w:p>
    <w:p w14:paraId="4B85E27B" w14:textId="77777777" w:rsidR="00427B54" w:rsidRDefault="00275ECC" w:rsidP="00A47A67">
      <w:pPr>
        <w:numPr>
          <w:ilvl w:val="0"/>
          <w:numId w:val="1"/>
        </w:numPr>
        <w:spacing w:after="60" w:line="312" w:lineRule="auto"/>
        <w:jc w:val="both"/>
      </w:pPr>
      <w:r>
        <w:t>Muži mírně častěji než ženy věří, že elektronická evidence tržeb přinese zlepšení ve výběru daní od obchodníků a poskytovatelů služeb.</w:t>
      </w:r>
    </w:p>
    <w:p w14:paraId="6A4E6E82" w14:textId="77777777" w:rsidR="00204610" w:rsidRDefault="00204610" w:rsidP="00A47A67">
      <w:pPr>
        <w:numPr>
          <w:ilvl w:val="0"/>
          <w:numId w:val="1"/>
        </w:numPr>
        <w:spacing w:after="60" w:line="312" w:lineRule="auto"/>
        <w:jc w:val="both"/>
      </w:pPr>
      <w:r>
        <w:t>Jasná většina sympatizantů ANO a ČSSD věří ve zlepšení výběru daní po zavedení elektronické evidence tržeb. Naopak mezi příznivci ODS, SPD a TOP 09 převažuje nedůvěra v pozitivní efekt této změny na výběr daní.</w:t>
      </w:r>
    </w:p>
    <w:p w14:paraId="5DF26BA8" w14:textId="77777777" w:rsidR="00A47A67" w:rsidRDefault="00A47A67" w:rsidP="00A47A67">
      <w:pPr>
        <w:numPr>
          <w:ilvl w:val="0"/>
          <w:numId w:val="1"/>
        </w:numPr>
        <w:spacing w:after="60" w:line="312" w:lineRule="auto"/>
        <w:jc w:val="both"/>
      </w:pPr>
      <w:r>
        <w:t>Lidé se zkušenostmi s podnikáním nemají jednoznačný názor na efekt elektronických pokladen na výběr daní. Mezi lidmi, kteří nemají osobní nebo rodinné zkušenosti s hotovostními tržbami v podnikání, jasně převažují pozitivní očekávání.</w:t>
      </w:r>
    </w:p>
    <w:p w14:paraId="38190497" w14:textId="77777777" w:rsidR="006B1ABE" w:rsidRDefault="006B1ABE" w:rsidP="006B1ABE">
      <w:pPr>
        <w:pStyle w:val="Zkladntext3"/>
        <w:spacing w:after="120" w:line="240" w:lineRule="auto"/>
        <w:rPr>
          <w:sz w:val="25"/>
          <w:szCs w:val="25"/>
        </w:rPr>
      </w:pPr>
      <w:r>
        <w:rPr>
          <w:noProof/>
          <w:lang w:val="cs-CZ" w:eastAsia="cs-CZ"/>
        </w:rPr>
        <w:drawing>
          <wp:inline distT="0" distB="0" distL="0" distR="0" wp14:anchorId="1C0B0AC9" wp14:editId="6EA972B2">
            <wp:extent cx="5770709" cy="3995697"/>
            <wp:effectExtent l="0" t="0" r="0" b="0"/>
            <wp:docPr id="24"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2D1F8A9" w14:textId="77777777" w:rsidR="006B1ABE" w:rsidRDefault="006B1ABE" w:rsidP="006B1ABE">
      <w:pPr>
        <w:pStyle w:val="Zkladntext3"/>
        <w:spacing w:after="120" w:line="240" w:lineRule="auto"/>
        <w:rPr>
          <w:b w:val="0"/>
          <w:i w:val="0"/>
          <w:sz w:val="20"/>
          <w:szCs w:val="20"/>
        </w:rPr>
      </w:pPr>
      <w:r>
        <w:rPr>
          <w:b w:val="0"/>
          <w:i w:val="0"/>
          <w:sz w:val="20"/>
          <w:szCs w:val="20"/>
        </w:rPr>
        <w:t>Pramen: EET II., STEM, květen 2016, 1010 respondentů (931 respondentů)</w:t>
      </w:r>
    </w:p>
    <w:p w14:paraId="3C3D4323" w14:textId="77777777" w:rsidR="006B1ABE" w:rsidRDefault="006B1ABE" w:rsidP="00816F45">
      <w:pPr>
        <w:spacing w:line="360" w:lineRule="auto"/>
        <w:jc w:val="both"/>
      </w:pPr>
    </w:p>
    <w:p w14:paraId="15456418" w14:textId="77777777" w:rsidR="006B1ABE" w:rsidRDefault="006B1ABE" w:rsidP="006B1ABE">
      <w:pPr>
        <w:pStyle w:val="Zkladntext3"/>
        <w:spacing w:after="120" w:line="240" w:lineRule="auto"/>
        <w:rPr>
          <w:sz w:val="25"/>
          <w:szCs w:val="25"/>
        </w:rPr>
      </w:pPr>
      <w:r>
        <w:rPr>
          <w:noProof/>
          <w:lang w:val="cs-CZ" w:eastAsia="cs-CZ"/>
        </w:rPr>
        <w:drawing>
          <wp:inline distT="0" distB="0" distL="0" distR="0" wp14:anchorId="75A200E9" wp14:editId="6309DA5C">
            <wp:extent cx="5770709" cy="3995697"/>
            <wp:effectExtent l="0" t="0" r="0" b="0"/>
            <wp:docPr id="25"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21DA00C" w14:textId="77777777" w:rsidR="006B1ABE" w:rsidRDefault="006B1ABE" w:rsidP="006B1ABE">
      <w:pPr>
        <w:pStyle w:val="Zkladntext3"/>
        <w:spacing w:after="120" w:line="240" w:lineRule="auto"/>
        <w:rPr>
          <w:b w:val="0"/>
          <w:i w:val="0"/>
          <w:sz w:val="20"/>
          <w:szCs w:val="20"/>
        </w:rPr>
      </w:pPr>
      <w:r>
        <w:rPr>
          <w:b w:val="0"/>
          <w:i w:val="0"/>
          <w:sz w:val="20"/>
          <w:szCs w:val="20"/>
        </w:rPr>
        <w:t>Pramen: EET II., STEM, květen 2016, 1010 respondentů (931 respondentů)</w:t>
      </w:r>
    </w:p>
    <w:p w14:paraId="6591B018" w14:textId="77777777" w:rsidR="006B1ABE" w:rsidRDefault="006B1ABE" w:rsidP="006B1ABE">
      <w:pPr>
        <w:pStyle w:val="Zkladntext3"/>
        <w:spacing w:after="120" w:line="240" w:lineRule="auto"/>
        <w:rPr>
          <w:sz w:val="25"/>
          <w:szCs w:val="25"/>
        </w:rPr>
      </w:pPr>
      <w:r>
        <w:rPr>
          <w:noProof/>
          <w:lang w:val="cs-CZ" w:eastAsia="cs-CZ"/>
        </w:rPr>
        <w:drawing>
          <wp:inline distT="0" distB="0" distL="0" distR="0" wp14:anchorId="0C0AF509" wp14:editId="1B67062E">
            <wp:extent cx="5770709" cy="4303059"/>
            <wp:effectExtent l="0" t="0" r="0" b="0"/>
            <wp:docPr id="27"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211D6A5A" w14:textId="77777777" w:rsidR="006B1ABE" w:rsidRDefault="006B1ABE" w:rsidP="006B1ABE">
      <w:pPr>
        <w:pStyle w:val="Zkladntext3"/>
        <w:spacing w:after="120" w:line="240" w:lineRule="auto"/>
        <w:rPr>
          <w:b w:val="0"/>
          <w:i w:val="0"/>
          <w:sz w:val="20"/>
          <w:szCs w:val="20"/>
        </w:rPr>
      </w:pPr>
      <w:r>
        <w:rPr>
          <w:b w:val="0"/>
          <w:i w:val="0"/>
          <w:sz w:val="20"/>
          <w:szCs w:val="20"/>
        </w:rPr>
        <w:t>Pramen: EET II., STEM, květen 2016, 1010 respondentů (931 respondentů)</w:t>
      </w:r>
    </w:p>
    <w:p w14:paraId="0085CC2D" w14:textId="77777777" w:rsidR="00A52802" w:rsidRDefault="006B1ABE" w:rsidP="00204610">
      <w:pPr>
        <w:rPr>
          <w:sz w:val="20"/>
          <w:szCs w:val="20"/>
        </w:rPr>
      </w:pPr>
      <w:r w:rsidRPr="00BA211E">
        <w:rPr>
          <w:sz w:val="20"/>
          <w:szCs w:val="20"/>
        </w:rPr>
        <w:t>Poznámka: Údaje pro menší parlamentní strany jsou vzhledem k počtu jejich sympatizantů pouze orientační.</w:t>
      </w:r>
    </w:p>
    <w:p w14:paraId="27F686C8" w14:textId="77777777" w:rsidR="00A52802" w:rsidRDefault="00A52802" w:rsidP="00204610">
      <w:pPr>
        <w:rPr>
          <w:sz w:val="20"/>
          <w:szCs w:val="20"/>
        </w:rPr>
      </w:pPr>
    </w:p>
    <w:p w14:paraId="379D757C" w14:textId="77777777" w:rsidR="00A52802" w:rsidRDefault="00A52802" w:rsidP="00A52802">
      <w:pPr>
        <w:pStyle w:val="Zkladntext3"/>
        <w:spacing w:after="120" w:line="240" w:lineRule="auto"/>
        <w:rPr>
          <w:sz w:val="25"/>
          <w:szCs w:val="25"/>
        </w:rPr>
      </w:pPr>
      <w:r>
        <w:rPr>
          <w:noProof/>
          <w:lang w:val="cs-CZ" w:eastAsia="cs-CZ"/>
        </w:rPr>
        <w:drawing>
          <wp:inline distT="0" distB="0" distL="0" distR="0" wp14:anchorId="5A64D71F" wp14:editId="699D93E1">
            <wp:extent cx="5770709" cy="3749809"/>
            <wp:effectExtent l="0" t="0" r="0" b="0"/>
            <wp:docPr id="44"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2EB0D853" w14:textId="77777777" w:rsidR="00816F45" w:rsidRDefault="00A52802" w:rsidP="00A47A67">
      <w:pPr>
        <w:pStyle w:val="Zkladntext3"/>
        <w:spacing w:after="120" w:line="240" w:lineRule="auto"/>
      </w:pPr>
      <w:r>
        <w:rPr>
          <w:b w:val="0"/>
          <w:i w:val="0"/>
          <w:sz w:val="20"/>
          <w:szCs w:val="20"/>
        </w:rPr>
        <w:t>Pramen: EET II., STEM, květen 2016, 1010 respondentů (931 respondentů)</w:t>
      </w:r>
      <w:r w:rsidR="00427B54">
        <w:br w:type="page"/>
      </w:r>
    </w:p>
    <w:p w14:paraId="5167A1D9" w14:textId="77777777" w:rsidR="007B7FEB" w:rsidRPr="00597C6D" w:rsidRDefault="00E83242" w:rsidP="007B7FEB">
      <w:pPr>
        <w:pStyle w:val="Zkladntext"/>
        <w:numPr>
          <w:ilvl w:val="0"/>
          <w:numId w:val="4"/>
        </w:numPr>
        <w:shd w:val="clear" w:color="auto" w:fill="FFFF99"/>
        <w:spacing w:after="120" w:line="312" w:lineRule="auto"/>
        <w:jc w:val="center"/>
        <w:rPr>
          <w:b/>
          <w:i w:val="0"/>
          <w:sz w:val="32"/>
          <w:szCs w:val="32"/>
        </w:rPr>
      </w:pPr>
      <w:r>
        <w:rPr>
          <w:b/>
          <w:i w:val="0"/>
          <w:sz w:val="32"/>
          <w:szCs w:val="32"/>
        </w:rPr>
        <w:t xml:space="preserve">Názor veřejnosti na vliv </w:t>
      </w:r>
      <w:r w:rsidR="007B7FEB">
        <w:rPr>
          <w:b/>
          <w:i w:val="0"/>
          <w:sz w:val="32"/>
          <w:szCs w:val="32"/>
        </w:rPr>
        <w:t>elektronick</w:t>
      </w:r>
      <w:r>
        <w:rPr>
          <w:b/>
          <w:i w:val="0"/>
          <w:sz w:val="32"/>
          <w:szCs w:val="32"/>
        </w:rPr>
        <w:t>é</w:t>
      </w:r>
      <w:r w:rsidR="007B7FEB">
        <w:rPr>
          <w:b/>
          <w:i w:val="0"/>
          <w:sz w:val="32"/>
          <w:szCs w:val="32"/>
        </w:rPr>
        <w:t xml:space="preserve"> evidence tržeb</w:t>
      </w:r>
      <w:r>
        <w:rPr>
          <w:b/>
          <w:i w:val="0"/>
          <w:sz w:val="32"/>
          <w:szCs w:val="32"/>
        </w:rPr>
        <w:t xml:space="preserve"> </w:t>
      </w:r>
      <w:r w:rsidR="00DE22AA">
        <w:rPr>
          <w:b/>
          <w:i w:val="0"/>
          <w:sz w:val="32"/>
          <w:szCs w:val="32"/>
          <w:lang w:val="cs-CZ"/>
        </w:rPr>
        <w:br/>
      </w:r>
      <w:r>
        <w:rPr>
          <w:b/>
          <w:i w:val="0"/>
          <w:sz w:val="32"/>
          <w:szCs w:val="32"/>
        </w:rPr>
        <w:t xml:space="preserve">na narovnání podnikatelského prostředí v naší zemi </w:t>
      </w:r>
      <w:r w:rsidR="00DE22AA">
        <w:rPr>
          <w:b/>
          <w:i w:val="0"/>
          <w:sz w:val="32"/>
          <w:szCs w:val="32"/>
          <w:lang w:val="cs-CZ"/>
        </w:rPr>
        <w:br/>
      </w:r>
      <w:r>
        <w:rPr>
          <w:b/>
          <w:i w:val="0"/>
          <w:sz w:val="32"/>
          <w:szCs w:val="32"/>
        </w:rPr>
        <w:t>není jednoznačný</w:t>
      </w:r>
      <w:r w:rsidR="007B7FEB">
        <w:rPr>
          <w:b/>
          <w:i w:val="0"/>
          <w:sz w:val="32"/>
          <w:szCs w:val="32"/>
        </w:rPr>
        <w:t>.</w:t>
      </w:r>
    </w:p>
    <w:p w14:paraId="0FB8D66E" w14:textId="77777777" w:rsidR="007B7FEB" w:rsidRDefault="00D77605" w:rsidP="007B7FEB">
      <w:pPr>
        <w:jc w:val="center"/>
        <w:rPr>
          <w:b/>
          <w:iCs/>
          <w:color w:val="FF0000"/>
          <w:sz w:val="32"/>
        </w:rPr>
      </w:pPr>
      <w:r>
        <w:rPr>
          <w:b/>
          <w:iCs/>
          <w:color w:val="FF0000"/>
          <w:sz w:val="32"/>
        </w:rPr>
        <w:pict w14:anchorId="5D3F13DA">
          <v:rect id="_x0000_i1034" style="width:453.6pt;height:2pt" o:hralign="center" o:hrstd="t" o:hrnoshade="t" o:hr="t" fillcolor="#603" stroked="f"/>
        </w:pict>
      </w:r>
    </w:p>
    <w:p w14:paraId="4106F036" w14:textId="77777777" w:rsidR="007B7FEB" w:rsidRDefault="007B7FEB" w:rsidP="007B7FEB">
      <w:pPr>
        <w:pStyle w:val="Zkladntext3"/>
        <w:spacing w:line="240" w:lineRule="auto"/>
        <w:rPr>
          <w:bCs/>
          <w:iCs w:val="0"/>
        </w:rPr>
      </w:pPr>
    </w:p>
    <w:p w14:paraId="423A0E93" w14:textId="77777777" w:rsidR="007B7FEB" w:rsidRDefault="007B7FEB" w:rsidP="007B7FEB">
      <w:pPr>
        <w:pStyle w:val="Zkladntext3"/>
        <w:spacing w:line="240" w:lineRule="auto"/>
        <w:rPr>
          <w:b w:val="0"/>
        </w:rPr>
      </w:pPr>
      <w:r w:rsidRPr="009A04ED">
        <w:rPr>
          <w:b w:val="0"/>
        </w:rPr>
        <w:t>„M</w:t>
      </w:r>
      <w:r>
        <w:rPr>
          <w:b w:val="0"/>
        </w:rPr>
        <w:t xml:space="preserve">yslíte si, že zavedení elektronické evidence tržeb postupně přispěje </w:t>
      </w:r>
      <w:r>
        <w:rPr>
          <w:b w:val="0"/>
        </w:rPr>
        <w:br/>
        <w:t xml:space="preserve">k narovnání </w:t>
      </w:r>
      <w:r w:rsidRPr="009D05B0">
        <w:rPr>
          <w:b w:val="0"/>
          <w:u w:val="single"/>
        </w:rPr>
        <w:t>podnikatelského prostředí</w:t>
      </w:r>
      <w:r>
        <w:rPr>
          <w:b w:val="0"/>
        </w:rPr>
        <w:t xml:space="preserve"> v ČR</w:t>
      </w:r>
      <w:r w:rsidRPr="009A04ED">
        <w:rPr>
          <w:b w:val="0"/>
        </w:rPr>
        <w:t>?“</w:t>
      </w:r>
    </w:p>
    <w:p w14:paraId="484DF7C4" w14:textId="77777777" w:rsidR="007B7FEB" w:rsidRPr="002378FC" w:rsidRDefault="007B7FEB" w:rsidP="007B7FEB">
      <w:pPr>
        <w:pStyle w:val="Zkladntext3"/>
        <w:spacing w:before="120" w:line="240" w:lineRule="auto"/>
        <w:rPr>
          <w:b w:val="0"/>
          <w:i w:val="0"/>
          <w:sz w:val="25"/>
          <w:szCs w:val="25"/>
        </w:rPr>
      </w:pPr>
      <w:r w:rsidRPr="002378FC">
        <w:rPr>
          <w:b w:val="0"/>
          <w:i w:val="0"/>
          <w:sz w:val="25"/>
          <w:szCs w:val="25"/>
        </w:rPr>
        <w:t xml:space="preserve">(Počet respondentů: </w:t>
      </w:r>
      <w:r w:rsidR="00E83242">
        <w:rPr>
          <w:b w:val="0"/>
          <w:i w:val="0"/>
          <w:sz w:val="25"/>
          <w:szCs w:val="25"/>
        </w:rPr>
        <w:t>931</w:t>
      </w:r>
      <w:r w:rsidRPr="002378FC">
        <w:rPr>
          <w:b w:val="0"/>
          <w:i w:val="0"/>
          <w:sz w:val="25"/>
          <w:szCs w:val="25"/>
        </w:rPr>
        <w:t>)</w:t>
      </w:r>
    </w:p>
    <w:p w14:paraId="7226F64A" w14:textId="77777777" w:rsidR="007B7FEB" w:rsidRPr="009A04ED" w:rsidRDefault="007B7FEB" w:rsidP="007B7FEB">
      <w:pPr>
        <w:pStyle w:val="Zkladntext3"/>
        <w:spacing w:line="240" w:lineRule="auto"/>
        <w:rPr>
          <w:b w:val="0"/>
        </w:rPr>
      </w:pPr>
    </w:p>
    <w:p w14:paraId="5BC357C9" w14:textId="77777777" w:rsidR="007B7FEB" w:rsidRDefault="007B7FEB" w:rsidP="007B7FEB">
      <w:pPr>
        <w:rPr>
          <w:b/>
          <w:color w:val="FF0000"/>
        </w:rPr>
      </w:pPr>
      <w:r>
        <w:rPr>
          <w:b/>
          <w:noProof/>
          <w:color w:val="FF0000"/>
        </w:rPr>
        <w:drawing>
          <wp:inline distT="0" distB="0" distL="0" distR="0" wp14:anchorId="57E9685D" wp14:editId="30558D48">
            <wp:extent cx="5678805" cy="2704465"/>
            <wp:effectExtent l="0" t="0" r="0" b="0"/>
            <wp:docPr id="10" name="Graf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700BB13A" w14:textId="77777777" w:rsidR="007B7FEB" w:rsidRDefault="007B7FEB" w:rsidP="007B7FEB">
      <w:pPr>
        <w:pStyle w:val="Zkladntext3"/>
        <w:spacing w:line="240" w:lineRule="auto"/>
        <w:rPr>
          <w:bCs/>
          <w:iCs w:val="0"/>
        </w:rPr>
      </w:pPr>
    </w:p>
    <w:p w14:paraId="0B9AFDE7" w14:textId="77777777" w:rsidR="007B7FEB" w:rsidRPr="00A660DA" w:rsidRDefault="007B7FEB" w:rsidP="007B7FEB">
      <w:pPr>
        <w:spacing w:after="120"/>
        <w:jc w:val="center"/>
        <w:rPr>
          <w:i/>
        </w:rPr>
      </w:pPr>
    </w:p>
    <w:p w14:paraId="540B35E6" w14:textId="77777777" w:rsidR="007B7FEB" w:rsidRDefault="00203D67" w:rsidP="007B7FEB">
      <w:pPr>
        <w:numPr>
          <w:ilvl w:val="0"/>
          <w:numId w:val="1"/>
        </w:numPr>
        <w:spacing w:after="120" w:line="360" w:lineRule="auto"/>
        <w:jc w:val="both"/>
      </w:pPr>
      <w:r>
        <w:t>Zlepšení podnikatelského prostředí po zavedení elektronické evidence tržeb častěji očekávají lidé starší 60 let. Rovněž muži jsou v tomto ohledu poněkud optimističtější než ženy.</w:t>
      </w:r>
    </w:p>
    <w:p w14:paraId="4D1F8E1F" w14:textId="77777777" w:rsidR="00203D67" w:rsidRDefault="00F63C3D" w:rsidP="007B7FEB">
      <w:pPr>
        <w:numPr>
          <w:ilvl w:val="0"/>
          <w:numId w:val="1"/>
        </w:numPr>
        <w:spacing w:after="120" w:line="360" w:lineRule="auto"/>
        <w:jc w:val="both"/>
      </w:pPr>
      <w:r>
        <w:t>Narovnání podnikatelského prostředí si se zavedením elektronické evidence tržeb spojuje jasná většina sympatizantů ANO a ČSSD. Příznivc</w:t>
      </w:r>
      <w:r w:rsidR="00DE22AA">
        <w:t>i</w:t>
      </w:r>
      <w:r>
        <w:t xml:space="preserve"> KSČM jsou v této otázce rozdělení. Mezi stoupenci ostatních parlamentních stran převažuje spíše skepse a názor, že zavedení elektronické evidence tržeb podnikatelské prostředí u nás nezlepší. Nejskeptičtější jsou sympatizanti TOP 09.</w:t>
      </w:r>
    </w:p>
    <w:p w14:paraId="4E9C25BC" w14:textId="77777777" w:rsidR="00A3782B" w:rsidRDefault="00A3782B" w:rsidP="007B7FEB">
      <w:pPr>
        <w:numPr>
          <w:ilvl w:val="0"/>
          <w:numId w:val="1"/>
        </w:numPr>
        <w:spacing w:after="120" w:line="360" w:lineRule="auto"/>
        <w:jc w:val="both"/>
      </w:pPr>
      <w:r>
        <w:t>Mezi lidmi se zkušenostmi s podnikáním převažuje názor, že elektronické pokladny nebudou mít vliv na narovnání podnikatelského prostředí u nás.</w:t>
      </w:r>
    </w:p>
    <w:p w14:paraId="57607B68" w14:textId="77777777" w:rsidR="007B7FEB" w:rsidRDefault="007B7FEB" w:rsidP="007B7FEB">
      <w:pPr>
        <w:spacing w:line="360" w:lineRule="auto"/>
        <w:jc w:val="both"/>
      </w:pPr>
    </w:p>
    <w:p w14:paraId="2B6B2404" w14:textId="77777777" w:rsidR="009D05B0" w:rsidRDefault="009D05B0" w:rsidP="009D05B0">
      <w:pPr>
        <w:pStyle w:val="Zkladntext3"/>
        <w:spacing w:after="120" w:line="240" w:lineRule="auto"/>
        <w:rPr>
          <w:sz w:val="25"/>
          <w:szCs w:val="25"/>
        </w:rPr>
      </w:pPr>
      <w:r w:rsidRPr="009D05B0">
        <w:rPr>
          <w:noProof/>
          <w:lang w:val="cs-CZ" w:eastAsia="cs-CZ"/>
        </w:rPr>
        <w:drawing>
          <wp:inline distT="0" distB="0" distL="0" distR="0" wp14:anchorId="5D19C04C" wp14:editId="3FF305D7">
            <wp:extent cx="5770709" cy="3995697"/>
            <wp:effectExtent l="0" t="0" r="0" b="0"/>
            <wp:docPr id="29"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4851821F" w14:textId="77777777" w:rsidR="009D05B0" w:rsidRDefault="009D05B0" w:rsidP="009D05B0">
      <w:pPr>
        <w:pStyle w:val="Zkladntext3"/>
        <w:spacing w:after="120" w:line="240" w:lineRule="auto"/>
        <w:rPr>
          <w:b w:val="0"/>
          <w:i w:val="0"/>
          <w:sz w:val="20"/>
          <w:szCs w:val="20"/>
        </w:rPr>
      </w:pPr>
      <w:r>
        <w:rPr>
          <w:b w:val="0"/>
          <w:i w:val="0"/>
          <w:sz w:val="20"/>
          <w:szCs w:val="20"/>
        </w:rPr>
        <w:t>Pramen: EET II., STEM, květen 2016, 1010 respondentů (931 respondentů)</w:t>
      </w:r>
    </w:p>
    <w:p w14:paraId="79F9C2D7" w14:textId="77777777" w:rsidR="009D05B0" w:rsidRDefault="009D05B0" w:rsidP="009D05B0">
      <w:pPr>
        <w:spacing w:line="360" w:lineRule="auto"/>
        <w:jc w:val="both"/>
      </w:pPr>
    </w:p>
    <w:p w14:paraId="7DB49B4D" w14:textId="77777777" w:rsidR="009D05B0" w:rsidRDefault="009D05B0" w:rsidP="009D05B0">
      <w:pPr>
        <w:pStyle w:val="Zkladntext3"/>
        <w:spacing w:after="120" w:line="240" w:lineRule="auto"/>
        <w:rPr>
          <w:sz w:val="25"/>
          <w:szCs w:val="25"/>
        </w:rPr>
      </w:pPr>
      <w:r>
        <w:rPr>
          <w:noProof/>
          <w:lang w:val="cs-CZ" w:eastAsia="cs-CZ"/>
        </w:rPr>
        <w:drawing>
          <wp:inline distT="0" distB="0" distL="0" distR="0" wp14:anchorId="6933E7F6" wp14:editId="0756C6ED">
            <wp:extent cx="5770709" cy="3995697"/>
            <wp:effectExtent l="0" t="0" r="0" b="0"/>
            <wp:docPr id="30"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4B6DA14" w14:textId="77777777" w:rsidR="009D05B0" w:rsidRDefault="009D05B0" w:rsidP="009D05B0">
      <w:pPr>
        <w:pStyle w:val="Zkladntext3"/>
        <w:spacing w:after="120" w:line="240" w:lineRule="auto"/>
        <w:rPr>
          <w:b w:val="0"/>
          <w:i w:val="0"/>
          <w:sz w:val="20"/>
          <w:szCs w:val="20"/>
        </w:rPr>
      </w:pPr>
      <w:r>
        <w:rPr>
          <w:b w:val="0"/>
          <w:i w:val="0"/>
          <w:sz w:val="20"/>
          <w:szCs w:val="20"/>
        </w:rPr>
        <w:t>Pramen: EET II., STEM, květen 2016, 1010 respondentů (931 respondentů)</w:t>
      </w:r>
    </w:p>
    <w:p w14:paraId="45D8E38B" w14:textId="77777777" w:rsidR="009D05B0" w:rsidRDefault="009D05B0" w:rsidP="009D05B0">
      <w:pPr>
        <w:pStyle w:val="Zkladntext3"/>
        <w:spacing w:after="120" w:line="240" w:lineRule="auto"/>
        <w:rPr>
          <w:sz w:val="25"/>
          <w:szCs w:val="25"/>
        </w:rPr>
      </w:pPr>
      <w:r>
        <w:rPr>
          <w:noProof/>
          <w:lang w:val="cs-CZ" w:eastAsia="cs-CZ"/>
        </w:rPr>
        <w:drawing>
          <wp:inline distT="0" distB="0" distL="0" distR="0" wp14:anchorId="271A1D8F" wp14:editId="2FECB7EA">
            <wp:extent cx="5770709" cy="4364531"/>
            <wp:effectExtent l="0" t="0" r="0" b="0"/>
            <wp:docPr id="31"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2C9E20C4" w14:textId="77777777" w:rsidR="009D05B0" w:rsidRDefault="009D05B0" w:rsidP="009D05B0">
      <w:pPr>
        <w:pStyle w:val="Zkladntext3"/>
        <w:spacing w:after="120" w:line="240" w:lineRule="auto"/>
        <w:rPr>
          <w:b w:val="0"/>
          <w:i w:val="0"/>
          <w:sz w:val="20"/>
          <w:szCs w:val="20"/>
        </w:rPr>
      </w:pPr>
      <w:r>
        <w:rPr>
          <w:b w:val="0"/>
          <w:i w:val="0"/>
          <w:sz w:val="20"/>
          <w:szCs w:val="20"/>
        </w:rPr>
        <w:t>Pramen: EET II., STEM, květen 2016, 1010 respondentů (931 respondentů)</w:t>
      </w:r>
    </w:p>
    <w:p w14:paraId="495BCDCD" w14:textId="77777777" w:rsidR="009D05B0" w:rsidRDefault="009D05B0" w:rsidP="009D05B0">
      <w:r w:rsidRPr="00BA211E">
        <w:rPr>
          <w:sz w:val="20"/>
          <w:szCs w:val="20"/>
        </w:rPr>
        <w:t>Poznámka: Údaje pro menší parlamentní strany jsou vzhledem k počtu jejich sympatizantů pouze orientační.</w:t>
      </w:r>
    </w:p>
    <w:p w14:paraId="61F32011" w14:textId="77777777" w:rsidR="009D05B0" w:rsidRDefault="009D05B0" w:rsidP="00A3782B">
      <w:pPr>
        <w:jc w:val="both"/>
      </w:pPr>
    </w:p>
    <w:p w14:paraId="472209E9" w14:textId="77777777" w:rsidR="00A3782B" w:rsidRDefault="00A3782B" w:rsidP="00A3782B">
      <w:pPr>
        <w:pStyle w:val="Zkladntext3"/>
        <w:spacing w:after="120" w:line="240" w:lineRule="auto"/>
        <w:rPr>
          <w:sz w:val="25"/>
          <w:szCs w:val="25"/>
        </w:rPr>
      </w:pPr>
      <w:r>
        <w:rPr>
          <w:noProof/>
          <w:lang w:val="cs-CZ" w:eastAsia="cs-CZ"/>
        </w:rPr>
        <w:drawing>
          <wp:inline distT="0" distB="0" distL="0" distR="0" wp14:anchorId="275851FE" wp14:editId="024E49C8">
            <wp:extent cx="5770709" cy="3657600"/>
            <wp:effectExtent l="0" t="0" r="0" b="0"/>
            <wp:docPr id="50"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7FE31265" w14:textId="77777777" w:rsidR="007B7FEB" w:rsidRDefault="00A3782B" w:rsidP="00A3782B">
      <w:pPr>
        <w:pStyle w:val="Zkladntext3"/>
        <w:spacing w:after="120" w:line="240" w:lineRule="auto"/>
      </w:pPr>
      <w:r>
        <w:rPr>
          <w:b w:val="0"/>
          <w:i w:val="0"/>
          <w:sz w:val="20"/>
          <w:szCs w:val="20"/>
        </w:rPr>
        <w:t>Pramen: EET II., STEM, květen 2016, 1010 respondentů (931 respondentů)</w:t>
      </w:r>
      <w:r w:rsidR="007B7FEB">
        <w:br w:type="page"/>
      </w:r>
    </w:p>
    <w:p w14:paraId="4545BC54" w14:textId="77777777" w:rsidR="00816F45" w:rsidRDefault="001105D1" w:rsidP="007B7FEB">
      <w:pPr>
        <w:pStyle w:val="Zkladntext"/>
        <w:numPr>
          <w:ilvl w:val="0"/>
          <w:numId w:val="4"/>
        </w:numPr>
        <w:shd w:val="clear" w:color="auto" w:fill="FFFF99"/>
        <w:jc w:val="center"/>
        <w:rPr>
          <w:b/>
          <w:i w:val="0"/>
          <w:sz w:val="32"/>
          <w:szCs w:val="28"/>
        </w:rPr>
      </w:pPr>
      <w:r>
        <w:rPr>
          <w:b/>
          <w:i w:val="0"/>
          <w:sz w:val="32"/>
          <w:szCs w:val="28"/>
        </w:rPr>
        <w:t xml:space="preserve">Podle </w:t>
      </w:r>
      <w:r w:rsidR="00F63C3D">
        <w:rPr>
          <w:b/>
          <w:i w:val="0"/>
          <w:sz w:val="32"/>
          <w:szCs w:val="28"/>
        </w:rPr>
        <w:t xml:space="preserve">více než třípětinové </w:t>
      </w:r>
      <w:r w:rsidR="00816F45">
        <w:rPr>
          <w:b/>
          <w:i w:val="0"/>
          <w:sz w:val="32"/>
          <w:szCs w:val="28"/>
        </w:rPr>
        <w:t>většin</w:t>
      </w:r>
      <w:r>
        <w:rPr>
          <w:b/>
          <w:i w:val="0"/>
          <w:sz w:val="32"/>
          <w:szCs w:val="28"/>
        </w:rPr>
        <w:t xml:space="preserve">y </w:t>
      </w:r>
      <w:r w:rsidR="00275ECC">
        <w:rPr>
          <w:b/>
          <w:i w:val="0"/>
          <w:sz w:val="32"/>
          <w:szCs w:val="28"/>
        </w:rPr>
        <w:t xml:space="preserve">dotázaných </w:t>
      </w:r>
      <w:r>
        <w:rPr>
          <w:b/>
          <w:i w:val="0"/>
          <w:sz w:val="32"/>
          <w:szCs w:val="28"/>
        </w:rPr>
        <w:t>občanů má zavedení elektronické evidence tržeb určitá rizika</w:t>
      </w:r>
      <w:r w:rsidR="00816F45">
        <w:rPr>
          <w:b/>
          <w:i w:val="0"/>
          <w:sz w:val="32"/>
          <w:szCs w:val="28"/>
        </w:rPr>
        <w:t>.</w:t>
      </w:r>
      <w:r w:rsidR="00F63C3D">
        <w:rPr>
          <w:b/>
          <w:i w:val="0"/>
          <w:sz w:val="32"/>
          <w:szCs w:val="28"/>
        </w:rPr>
        <w:t xml:space="preserve"> </w:t>
      </w:r>
      <w:r w:rsidR="00F63C3D">
        <w:rPr>
          <w:b/>
          <w:i w:val="0"/>
          <w:sz w:val="32"/>
          <w:szCs w:val="28"/>
        </w:rPr>
        <w:br/>
        <w:t>Tento podíl je téměř stejný jako vloni.</w:t>
      </w:r>
    </w:p>
    <w:p w14:paraId="1F56C44D" w14:textId="77777777" w:rsidR="00816F45" w:rsidRDefault="00D77605" w:rsidP="00816F45">
      <w:pPr>
        <w:pStyle w:val="Zkladntext"/>
        <w:rPr>
          <w:b/>
          <w:i w:val="0"/>
          <w:szCs w:val="28"/>
        </w:rPr>
      </w:pPr>
      <w:r>
        <w:rPr>
          <w:b/>
          <w:i w:val="0"/>
          <w:szCs w:val="28"/>
        </w:rPr>
        <w:pict w14:anchorId="10711C3B">
          <v:rect id="_x0000_i1035" style="width:453.6pt;height:2pt" o:hralign="center" o:hrstd="t" o:hrnoshade="t" o:hr="t" fillcolor="#603" stroked="f"/>
        </w:pict>
      </w:r>
    </w:p>
    <w:p w14:paraId="5EB57305" w14:textId="77777777" w:rsidR="00816F45" w:rsidRDefault="00816F45" w:rsidP="00816F45">
      <w:pPr>
        <w:tabs>
          <w:tab w:val="left" w:pos="7635"/>
        </w:tabs>
        <w:rPr>
          <w:b/>
          <w:bCs/>
          <w:i/>
          <w:sz w:val="28"/>
          <w:szCs w:val="28"/>
        </w:rPr>
      </w:pPr>
    </w:p>
    <w:p w14:paraId="720A77BB" w14:textId="77777777" w:rsidR="00816F45" w:rsidRPr="009A04ED" w:rsidRDefault="00816F45" w:rsidP="00816F45">
      <w:pPr>
        <w:pStyle w:val="Zkladntext3"/>
        <w:spacing w:after="120" w:line="240" w:lineRule="auto"/>
        <w:rPr>
          <w:b w:val="0"/>
          <w:bCs/>
          <w:iCs w:val="0"/>
        </w:rPr>
      </w:pPr>
      <w:r w:rsidRPr="009A04ED">
        <w:rPr>
          <w:b w:val="0"/>
        </w:rPr>
        <w:t>„</w:t>
      </w:r>
      <w:r>
        <w:rPr>
          <w:b w:val="0"/>
        </w:rPr>
        <w:t>Má podle Vás zavedení elektronické evidence tržeb nějaká rizika</w:t>
      </w:r>
      <w:r w:rsidRPr="009A04ED">
        <w:rPr>
          <w:b w:val="0"/>
        </w:rPr>
        <w:t>?</w:t>
      </w:r>
      <w:r w:rsidRPr="009A04ED">
        <w:rPr>
          <w:b w:val="0"/>
          <w:bCs/>
          <w:iCs w:val="0"/>
        </w:rPr>
        <w:t>“</w:t>
      </w:r>
    </w:p>
    <w:p w14:paraId="16A036E0" w14:textId="77777777" w:rsidR="007B7FEB" w:rsidRPr="002378FC" w:rsidRDefault="007B7FEB" w:rsidP="007B7FEB">
      <w:pPr>
        <w:pStyle w:val="Zkladntext3"/>
        <w:spacing w:before="120" w:line="240" w:lineRule="auto"/>
        <w:rPr>
          <w:b w:val="0"/>
          <w:i w:val="0"/>
          <w:sz w:val="25"/>
          <w:szCs w:val="25"/>
        </w:rPr>
      </w:pPr>
      <w:r w:rsidRPr="002378FC">
        <w:rPr>
          <w:b w:val="0"/>
          <w:i w:val="0"/>
          <w:sz w:val="25"/>
          <w:szCs w:val="25"/>
        </w:rPr>
        <w:t xml:space="preserve">(Počet respondentů: </w:t>
      </w:r>
      <w:r w:rsidR="00F63C3D">
        <w:rPr>
          <w:b w:val="0"/>
          <w:i w:val="0"/>
          <w:sz w:val="25"/>
          <w:szCs w:val="25"/>
        </w:rPr>
        <w:t>931</w:t>
      </w:r>
      <w:r w:rsidRPr="002378FC">
        <w:rPr>
          <w:b w:val="0"/>
          <w:i w:val="0"/>
          <w:sz w:val="25"/>
          <w:szCs w:val="25"/>
        </w:rPr>
        <w:t>)</w:t>
      </w:r>
    </w:p>
    <w:p w14:paraId="1B65DF42" w14:textId="77777777" w:rsidR="002956E3" w:rsidRDefault="007B7FEB" w:rsidP="002956E3">
      <w:pPr>
        <w:pStyle w:val="Zkladntext3"/>
        <w:spacing w:after="120" w:line="240" w:lineRule="auto"/>
        <w:rPr>
          <w:b w:val="0"/>
          <w:i w:val="0"/>
          <w:sz w:val="20"/>
          <w:szCs w:val="20"/>
        </w:rPr>
      </w:pPr>
      <w:r>
        <w:rPr>
          <w:b w:val="0"/>
          <w:noProof/>
          <w:color w:val="FF0000"/>
          <w:lang w:val="cs-CZ" w:eastAsia="cs-CZ"/>
        </w:rPr>
        <w:drawing>
          <wp:inline distT="0" distB="0" distL="0" distR="0" wp14:anchorId="5E54BB1B" wp14:editId="739AEA13">
            <wp:extent cx="5678805" cy="2704465"/>
            <wp:effectExtent l="0" t="0" r="0" b="0"/>
            <wp:docPr id="11" name="Graf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sidR="002956E3" w:rsidRPr="002956E3">
        <w:rPr>
          <w:b w:val="0"/>
          <w:i w:val="0"/>
          <w:sz w:val="20"/>
          <w:szCs w:val="20"/>
        </w:rPr>
        <w:t xml:space="preserve"> </w:t>
      </w:r>
      <w:r w:rsidR="002956E3">
        <w:rPr>
          <w:b w:val="0"/>
          <w:i w:val="0"/>
          <w:sz w:val="20"/>
          <w:szCs w:val="20"/>
        </w:rPr>
        <w:t>Pramen: EET II., STEM, květen 2016, 1010 respondentů (931 respondentů)</w:t>
      </w:r>
    </w:p>
    <w:p w14:paraId="2E329D14" w14:textId="77777777" w:rsidR="00F63C3D" w:rsidRDefault="00F63C3D" w:rsidP="007B7FEB">
      <w:pPr>
        <w:rPr>
          <w:b/>
          <w:color w:val="FF0000"/>
        </w:rPr>
      </w:pPr>
    </w:p>
    <w:p w14:paraId="66C0C149" w14:textId="77777777" w:rsidR="00F63C3D" w:rsidRPr="009A04ED" w:rsidRDefault="00F63C3D" w:rsidP="00F63C3D">
      <w:pPr>
        <w:pStyle w:val="Zkladntext3"/>
        <w:spacing w:after="120" w:line="240" w:lineRule="auto"/>
        <w:rPr>
          <w:b w:val="0"/>
          <w:bCs/>
          <w:iCs w:val="0"/>
        </w:rPr>
      </w:pPr>
      <w:r w:rsidRPr="009A04ED">
        <w:rPr>
          <w:b w:val="0"/>
        </w:rPr>
        <w:t>„</w:t>
      </w:r>
      <w:r>
        <w:rPr>
          <w:b w:val="0"/>
        </w:rPr>
        <w:t>Má podle Vás zavedení elektronické evidence tržeb nějaká rizika</w:t>
      </w:r>
      <w:r w:rsidRPr="009A04ED">
        <w:rPr>
          <w:b w:val="0"/>
        </w:rPr>
        <w:t>?</w:t>
      </w:r>
      <w:r w:rsidRPr="009A04ED">
        <w:rPr>
          <w:b w:val="0"/>
          <w:bCs/>
          <w:iCs w:val="0"/>
        </w:rPr>
        <w:t>“</w:t>
      </w:r>
    </w:p>
    <w:p w14:paraId="0BC3F021" w14:textId="77777777" w:rsidR="007B7FEB" w:rsidRDefault="007B7FEB" w:rsidP="007B7FEB">
      <w:pPr>
        <w:pStyle w:val="Zkladntext3"/>
        <w:spacing w:after="120" w:line="240" w:lineRule="auto"/>
      </w:pPr>
      <w:r>
        <w:rPr>
          <w:noProof/>
          <w:lang w:val="cs-CZ" w:eastAsia="cs-CZ"/>
        </w:rPr>
        <w:drawing>
          <wp:inline distT="0" distB="0" distL="0" distR="0" wp14:anchorId="1912D0FE" wp14:editId="01E85DF2">
            <wp:extent cx="5770709" cy="3772861"/>
            <wp:effectExtent l="0" t="0" r="0" b="0"/>
            <wp:docPr id="12"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76DFD6F6" w14:textId="77777777" w:rsidR="00816F45" w:rsidRDefault="00C0000E" w:rsidP="00895024">
      <w:pPr>
        <w:numPr>
          <w:ilvl w:val="0"/>
          <w:numId w:val="1"/>
        </w:numPr>
        <w:spacing w:after="120" w:line="312" w:lineRule="auto"/>
        <w:jc w:val="both"/>
      </w:pPr>
      <w:r>
        <w:t>V</w:t>
      </w:r>
      <w:r w:rsidR="007D395A">
        <w:t> </w:t>
      </w:r>
      <w:r w:rsidR="00275ECC">
        <w:t>zavedení</w:t>
      </w:r>
      <w:r w:rsidR="007D395A">
        <w:t xml:space="preserve"> </w:t>
      </w:r>
      <w:r w:rsidR="00275ECC">
        <w:t xml:space="preserve">elektronických pokladen častěji </w:t>
      </w:r>
      <w:r w:rsidR="007D395A">
        <w:t xml:space="preserve">vidí </w:t>
      </w:r>
      <w:r w:rsidR="00275ECC">
        <w:t>rizika</w:t>
      </w:r>
      <w:r w:rsidR="007D395A">
        <w:t xml:space="preserve"> lidé mladší 30 let. </w:t>
      </w:r>
    </w:p>
    <w:p w14:paraId="04468552" w14:textId="77777777" w:rsidR="007D395A" w:rsidRDefault="007D395A" w:rsidP="00895024">
      <w:pPr>
        <w:numPr>
          <w:ilvl w:val="0"/>
          <w:numId w:val="1"/>
        </w:numPr>
        <w:spacing w:after="120" w:line="312" w:lineRule="auto"/>
        <w:jc w:val="both"/>
      </w:pPr>
      <w:r>
        <w:t xml:space="preserve">Ženy jsou častěji než muži nakloněny tomu vidět rizikovost zavedení elektronické evidence tržeb. </w:t>
      </w:r>
    </w:p>
    <w:p w14:paraId="20754846" w14:textId="77777777" w:rsidR="00275ECC" w:rsidRDefault="007D395A" w:rsidP="00895024">
      <w:pPr>
        <w:numPr>
          <w:ilvl w:val="0"/>
          <w:numId w:val="1"/>
        </w:numPr>
        <w:spacing w:after="120" w:line="312" w:lineRule="auto"/>
        <w:jc w:val="both"/>
      </w:pPr>
      <w:r>
        <w:t xml:space="preserve">Podle jasné většiny sympatizantů ODS a TOP 09 má zavedení </w:t>
      </w:r>
      <w:r w:rsidR="00275ECC">
        <w:t>elektronick</w:t>
      </w:r>
      <w:r>
        <w:t>é</w:t>
      </w:r>
      <w:r w:rsidR="00275ECC">
        <w:t xml:space="preserve"> evidence tržeb </w:t>
      </w:r>
      <w:r>
        <w:t>svá rizika, v nižší míře jsou o tom přesvědčeni i příznivci KDU-ČSL a SPD. Naopak mezi stoupenci hnutí ANO převažuje postoj, že tu rizika nejsou.</w:t>
      </w:r>
    </w:p>
    <w:p w14:paraId="4E6262B8" w14:textId="77777777" w:rsidR="00A3782B" w:rsidRDefault="00A3782B" w:rsidP="00895024">
      <w:pPr>
        <w:numPr>
          <w:ilvl w:val="0"/>
          <w:numId w:val="1"/>
        </w:numPr>
        <w:spacing w:after="120" w:line="312" w:lineRule="auto"/>
        <w:jc w:val="both"/>
      </w:pPr>
      <w:r>
        <w:t xml:space="preserve">Mezi lidmi, kteří mají osobně nebo v rodině zkušenost s přijímáním hotovostních tržeb jako podnikatel, jasně převažuje názor o rizikovosti zavedení elektronických pokladen. Mezi lidmi bez těchto zkušeností je podíl tohoto názoru nižší, </w:t>
      </w:r>
      <w:r w:rsidR="00F8768C">
        <w:t>také</w:t>
      </w:r>
      <w:r>
        <w:t xml:space="preserve"> však většinový.</w:t>
      </w:r>
    </w:p>
    <w:p w14:paraId="2F721D03" w14:textId="77777777" w:rsidR="00816F45" w:rsidRDefault="00816F45" w:rsidP="00816F45">
      <w:pPr>
        <w:spacing w:after="120" w:line="312" w:lineRule="auto"/>
        <w:jc w:val="both"/>
      </w:pPr>
    </w:p>
    <w:p w14:paraId="47CFD2B5" w14:textId="77777777" w:rsidR="002956E3" w:rsidRDefault="002956E3" w:rsidP="002956E3">
      <w:pPr>
        <w:pStyle w:val="Zkladntext3"/>
        <w:spacing w:after="120" w:line="240" w:lineRule="auto"/>
        <w:rPr>
          <w:sz w:val="25"/>
          <w:szCs w:val="25"/>
        </w:rPr>
      </w:pPr>
      <w:r w:rsidRPr="009D05B0">
        <w:rPr>
          <w:noProof/>
          <w:lang w:val="cs-CZ" w:eastAsia="cs-CZ"/>
        </w:rPr>
        <w:drawing>
          <wp:inline distT="0" distB="0" distL="0" distR="0" wp14:anchorId="4A68ACD5" wp14:editId="2CBB4FC2">
            <wp:extent cx="5770709" cy="3995697"/>
            <wp:effectExtent l="0" t="0" r="0" b="0"/>
            <wp:docPr id="18"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0AD342B3" w14:textId="77777777" w:rsidR="002956E3" w:rsidRDefault="002956E3" w:rsidP="002956E3">
      <w:pPr>
        <w:pStyle w:val="Zkladntext3"/>
        <w:spacing w:after="120" w:line="240" w:lineRule="auto"/>
        <w:rPr>
          <w:b w:val="0"/>
          <w:i w:val="0"/>
          <w:sz w:val="20"/>
          <w:szCs w:val="20"/>
        </w:rPr>
      </w:pPr>
      <w:r>
        <w:rPr>
          <w:b w:val="0"/>
          <w:i w:val="0"/>
          <w:sz w:val="20"/>
          <w:szCs w:val="20"/>
        </w:rPr>
        <w:t>Pramen: EET II., STEM, květen 2016, 1010 respondentů (931 respondentů)</w:t>
      </w:r>
    </w:p>
    <w:p w14:paraId="65B27171" w14:textId="77777777" w:rsidR="002956E3" w:rsidRDefault="002956E3" w:rsidP="002956E3">
      <w:pPr>
        <w:spacing w:line="360" w:lineRule="auto"/>
        <w:jc w:val="both"/>
      </w:pPr>
    </w:p>
    <w:p w14:paraId="09B6E089" w14:textId="77777777" w:rsidR="002956E3" w:rsidRDefault="002956E3" w:rsidP="002956E3">
      <w:pPr>
        <w:pStyle w:val="Zkladntext3"/>
        <w:spacing w:after="120" w:line="240" w:lineRule="auto"/>
        <w:rPr>
          <w:sz w:val="25"/>
          <w:szCs w:val="25"/>
        </w:rPr>
      </w:pPr>
      <w:r>
        <w:rPr>
          <w:noProof/>
          <w:lang w:val="cs-CZ" w:eastAsia="cs-CZ"/>
        </w:rPr>
        <w:drawing>
          <wp:inline distT="0" distB="0" distL="0" distR="0" wp14:anchorId="28EF90EE" wp14:editId="0997D0EF">
            <wp:extent cx="5770709" cy="3488551"/>
            <wp:effectExtent l="0" t="0" r="0" b="0"/>
            <wp:docPr id="20"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47D08B23" w14:textId="77777777" w:rsidR="002956E3" w:rsidRDefault="002956E3" w:rsidP="002956E3">
      <w:pPr>
        <w:pStyle w:val="Zkladntext3"/>
        <w:spacing w:after="120" w:line="240" w:lineRule="auto"/>
        <w:rPr>
          <w:b w:val="0"/>
          <w:i w:val="0"/>
          <w:sz w:val="20"/>
          <w:szCs w:val="20"/>
        </w:rPr>
      </w:pPr>
      <w:r>
        <w:rPr>
          <w:b w:val="0"/>
          <w:i w:val="0"/>
          <w:sz w:val="20"/>
          <w:szCs w:val="20"/>
        </w:rPr>
        <w:t>Pramen: EET II., STEM, květen 2016, 1010 respondentů (931 respondentů)</w:t>
      </w:r>
    </w:p>
    <w:p w14:paraId="26768D5E" w14:textId="77777777" w:rsidR="002956E3" w:rsidRDefault="002956E3" w:rsidP="002956E3">
      <w:pPr>
        <w:pStyle w:val="Zkladntext3"/>
        <w:spacing w:after="120" w:line="240" w:lineRule="auto"/>
        <w:rPr>
          <w:sz w:val="25"/>
          <w:szCs w:val="25"/>
        </w:rPr>
      </w:pPr>
      <w:r>
        <w:rPr>
          <w:noProof/>
          <w:lang w:val="cs-CZ" w:eastAsia="cs-CZ"/>
        </w:rPr>
        <w:drawing>
          <wp:inline distT="0" distB="0" distL="0" distR="0" wp14:anchorId="20370577" wp14:editId="79D9793F">
            <wp:extent cx="5770709" cy="4426004"/>
            <wp:effectExtent l="0" t="0" r="1905" b="0"/>
            <wp:docPr id="26"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2D1A05D9" w14:textId="77777777" w:rsidR="002956E3" w:rsidRDefault="002956E3" w:rsidP="002956E3">
      <w:pPr>
        <w:pStyle w:val="Zkladntext3"/>
        <w:spacing w:after="120" w:line="240" w:lineRule="auto"/>
        <w:rPr>
          <w:b w:val="0"/>
          <w:i w:val="0"/>
          <w:sz w:val="20"/>
          <w:szCs w:val="20"/>
        </w:rPr>
      </w:pPr>
      <w:r>
        <w:rPr>
          <w:b w:val="0"/>
          <w:i w:val="0"/>
          <w:sz w:val="20"/>
          <w:szCs w:val="20"/>
        </w:rPr>
        <w:t>Pramen: EET II., STEM, květen 2016, 1010 respondentů (931 respondentů)</w:t>
      </w:r>
    </w:p>
    <w:p w14:paraId="5A5F203C" w14:textId="77777777" w:rsidR="002956E3" w:rsidRDefault="002956E3" w:rsidP="002956E3">
      <w:pPr>
        <w:rPr>
          <w:sz w:val="20"/>
          <w:szCs w:val="20"/>
        </w:rPr>
      </w:pPr>
    </w:p>
    <w:p w14:paraId="0E6485CD" w14:textId="77777777" w:rsidR="00A3782B" w:rsidRDefault="002956E3" w:rsidP="00FF10B8">
      <w:pPr>
        <w:rPr>
          <w:sz w:val="20"/>
          <w:szCs w:val="20"/>
        </w:rPr>
      </w:pPr>
      <w:r w:rsidRPr="00BA211E">
        <w:rPr>
          <w:sz w:val="20"/>
          <w:szCs w:val="20"/>
        </w:rPr>
        <w:t>Poznámka: Údaje pro menší parlamentní strany jsou vzhledem k počtu jejich sympatizantů pouze orientační.</w:t>
      </w:r>
    </w:p>
    <w:p w14:paraId="416DC172" w14:textId="77777777" w:rsidR="00A3782B" w:rsidRDefault="00A3782B" w:rsidP="00A3782B">
      <w:pPr>
        <w:pStyle w:val="Zkladntext3"/>
        <w:spacing w:after="120" w:line="240" w:lineRule="auto"/>
        <w:rPr>
          <w:sz w:val="25"/>
          <w:szCs w:val="25"/>
        </w:rPr>
      </w:pPr>
      <w:r>
        <w:rPr>
          <w:noProof/>
          <w:lang w:val="cs-CZ" w:eastAsia="cs-CZ"/>
        </w:rPr>
        <w:drawing>
          <wp:inline distT="0" distB="0" distL="0" distR="0" wp14:anchorId="270D6FFB" wp14:editId="498DC108">
            <wp:extent cx="5770709" cy="3657600"/>
            <wp:effectExtent l="0" t="0" r="0" b="0"/>
            <wp:docPr id="51"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2AA30031" w14:textId="77777777" w:rsidR="00A3782B" w:rsidRDefault="00A3782B" w:rsidP="00A3782B">
      <w:pPr>
        <w:pStyle w:val="Zkladntext3"/>
        <w:spacing w:after="120" w:line="240" w:lineRule="auto"/>
      </w:pPr>
      <w:r>
        <w:rPr>
          <w:b w:val="0"/>
          <w:i w:val="0"/>
          <w:sz w:val="20"/>
          <w:szCs w:val="20"/>
        </w:rPr>
        <w:t>Pramen: EET II., STEM, květen 2016, 1010 respondentů (931 respondentů)</w:t>
      </w:r>
    </w:p>
    <w:p w14:paraId="4A4B201B" w14:textId="77777777" w:rsidR="00E47F44" w:rsidRPr="004E1087" w:rsidRDefault="00C24D11" w:rsidP="00FF10B8">
      <w:pPr>
        <w:rPr>
          <w:sz w:val="26"/>
          <w:szCs w:val="26"/>
        </w:rPr>
      </w:pPr>
      <w:r>
        <w:br w:type="page"/>
      </w:r>
    </w:p>
    <w:p w14:paraId="3F1B9083" w14:textId="77777777" w:rsidR="00E47F44" w:rsidRPr="004E1087" w:rsidRDefault="00275ECC" w:rsidP="007B7FEB">
      <w:pPr>
        <w:pStyle w:val="Zkladntext"/>
        <w:numPr>
          <w:ilvl w:val="0"/>
          <w:numId w:val="4"/>
        </w:numPr>
        <w:shd w:val="clear" w:color="auto" w:fill="FFFF99"/>
        <w:jc w:val="center"/>
        <w:rPr>
          <w:b/>
          <w:i w:val="0"/>
          <w:sz w:val="32"/>
          <w:szCs w:val="28"/>
        </w:rPr>
      </w:pPr>
      <w:r>
        <w:rPr>
          <w:b/>
          <w:i w:val="0"/>
          <w:sz w:val="32"/>
          <w:szCs w:val="28"/>
        </w:rPr>
        <w:t xml:space="preserve">Nejčastěji vidí lidé </w:t>
      </w:r>
      <w:r w:rsidR="00DE22AA">
        <w:rPr>
          <w:b/>
          <w:i w:val="0"/>
          <w:sz w:val="32"/>
          <w:szCs w:val="28"/>
          <w:lang w:val="cs-CZ"/>
        </w:rPr>
        <w:t>nebezpečí</w:t>
      </w:r>
      <w:r>
        <w:rPr>
          <w:b/>
          <w:i w:val="0"/>
          <w:sz w:val="32"/>
          <w:szCs w:val="28"/>
        </w:rPr>
        <w:t xml:space="preserve"> v tom, že elektronické pokladny </w:t>
      </w:r>
      <w:r w:rsidR="00DE22AA">
        <w:rPr>
          <w:b/>
          <w:i w:val="0"/>
          <w:sz w:val="32"/>
          <w:szCs w:val="28"/>
          <w:lang w:val="cs-CZ"/>
        </w:rPr>
        <w:t>budou opatřením likvidujícím živnostníky.</w:t>
      </w:r>
      <w:r w:rsidR="00DE22AA">
        <w:rPr>
          <w:b/>
          <w:i w:val="0"/>
          <w:sz w:val="32"/>
          <w:szCs w:val="28"/>
          <w:lang w:val="cs-CZ"/>
        </w:rPr>
        <w:br/>
        <w:t xml:space="preserve">Část lidí se domnívá, že zavedení elektronické evidence tržeb </w:t>
      </w:r>
      <w:r>
        <w:rPr>
          <w:b/>
          <w:i w:val="0"/>
          <w:sz w:val="32"/>
          <w:szCs w:val="28"/>
        </w:rPr>
        <w:t xml:space="preserve">podvodným přístupům nezamezí. </w:t>
      </w:r>
    </w:p>
    <w:p w14:paraId="1F83D03A" w14:textId="77777777" w:rsidR="00E47F44" w:rsidRDefault="00D77605" w:rsidP="00E47F44">
      <w:pPr>
        <w:pStyle w:val="Zkladntext"/>
        <w:rPr>
          <w:b/>
          <w:i w:val="0"/>
          <w:szCs w:val="28"/>
        </w:rPr>
      </w:pPr>
      <w:r>
        <w:rPr>
          <w:b/>
          <w:i w:val="0"/>
          <w:szCs w:val="28"/>
        </w:rPr>
        <w:pict w14:anchorId="5E33295E">
          <v:rect id="_x0000_i1036" style="width:453.6pt;height:2pt" o:hralign="center" o:hrstd="t" o:hrnoshade="t" o:hr="t" fillcolor="#603" stroked="f"/>
        </w:pict>
      </w:r>
    </w:p>
    <w:p w14:paraId="1ED8045C" w14:textId="77777777" w:rsidR="00E47F44" w:rsidRDefault="00E47F44" w:rsidP="00E47F44">
      <w:pPr>
        <w:tabs>
          <w:tab w:val="left" w:pos="7635"/>
        </w:tabs>
        <w:rPr>
          <w:b/>
          <w:bCs/>
          <w:i/>
          <w:sz w:val="28"/>
          <w:szCs w:val="28"/>
        </w:rPr>
      </w:pPr>
    </w:p>
    <w:p w14:paraId="602BF53E" w14:textId="77777777" w:rsidR="00E47F44" w:rsidRDefault="00E47F44" w:rsidP="00E47F44">
      <w:pPr>
        <w:pStyle w:val="Zkladntext3"/>
        <w:spacing w:line="240" w:lineRule="auto"/>
        <w:rPr>
          <w:b w:val="0"/>
          <w:bCs/>
          <w:iCs w:val="0"/>
        </w:rPr>
      </w:pPr>
      <w:r w:rsidRPr="00844E91">
        <w:rPr>
          <w:b w:val="0"/>
          <w:bCs/>
          <w:iCs w:val="0"/>
        </w:rPr>
        <w:t>„</w:t>
      </w:r>
      <w:r w:rsidR="00844E91">
        <w:rPr>
          <w:b w:val="0"/>
          <w:bCs/>
          <w:iCs w:val="0"/>
        </w:rPr>
        <w:t>M</w:t>
      </w:r>
      <w:r w:rsidR="005B5493">
        <w:rPr>
          <w:b w:val="0"/>
          <w:bCs/>
          <w:iCs w:val="0"/>
        </w:rPr>
        <w:t xml:space="preserve">ůžete uvést, která </w:t>
      </w:r>
      <w:r w:rsidR="00844E91">
        <w:rPr>
          <w:b w:val="0"/>
          <w:bCs/>
          <w:iCs w:val="0"/>
        </w:rPr>
        <w:t>rizika</w:t>
      </w:r>
      <w:r w:rsidR="005B5493">
        <w:rPr>
          <w:b w:val="0"/>
          <w:bCs/>
          <w:iCs w:val="0"/>
        </w:rPr>
        <w:t xml:space="preserve"> to podle Vás jsou</w:t>
      </w:r>
      <w:r w:rsidRPr="00844E91">
        <w:rPr>
          <w:b w:val="0"/>
          <w:bCs/>
          <w:iCs w:val="0"/>
        </w:rPr>
        <w:t>?“</w:t>
      </w:r>
    </w:p>
    <w:p w14:paraId="116C31BB" w14:textId="77777777" w:rsidR="002378FC" w:rsidRDefault="002378FC" w:rsidP="002378FC">
      <w:pPr>
        <w:pStyle w:val="Zkladntext3"/>
        <w:spacing w:before="120" w:line="240" w:lineRule="auto"/>
        <w:rPr>
          <w:b w:val="0"/>
          <w:i w:val="0"/>
          <w:sz w:val="25"/>
          <w:szCs w:val="25"/>
        </w:rPr>
      </w:pPr>
      <w:r w:rsidRPr="002378FC">
        <w:rPr>
          <w:b w:val="0"/>
          <w:i w:val="0"/>
          <w:sz w:val="25"/>
          <w:szCs w:val="25"/>
        </w:rPr>
        <w:t xml:space="preserve">(Počet respondentů: </w:t>
      </w:r>
      <w:r w:rsidR="0072626F">
        <w:rPr>
          <w:b w:val="0"/>
          <w:i w:val="0"/>
          <w:sz w:val="25"/>
          <w:szCs w:val="25"/>
        </w:rPr>
        <w:t xml:space="preserve">2015 – </w:t>
      </w:r>
      <w:r w:rsidR="00275ECC">
        <w:rPr>
          <w:b w:val="0"/>
          <w:i w:val="0"/>
          <w:sz w:val="25"/>
          <w:szCs w:val="25"/>
        </w:rPr>
        <w:t>5</w:t>
      </w:r>
      <w:r w:rsidR="00696729">
        <w:rPr>
          <w:b w:val="0"/>
          <w:i w:val="0"/>
          <w:sz w:val="25"/>
          <w:szCs w:val="25"/>
        </w:rPr>
        <w:t>80</w:t>
      </w:r>
      <w:r w:rsidR="0072626F">
        <w:rPr>
          <w:b w:val="0"/>
          <w:i w:val="0"/>
          <w:sz w:val="25"/>
          <w:szCs w:val="25"/>
        </w:rPr>
        <w:t>, 2016 – 840</w:t>
      </w:r>
      <w:r w:rsidRPr="002378FC">
        <w:rPr>
          <w:b w:val="0"/>
          <w:i w:val="0"/>
          <w:sz w:val="25"/>
          <w:szCs w:val="25"/>
        </w:rPr>
        <w:t>)</w:t>
      </w:r>
    </w:p>
    <w:p w14:paraId="7EBC7D1D" w14:textId="77777777" w:rsidR="00275ECC" w:rsidRDefault="00275ECC" w:rsidP="002378FC">
      <w:pPr>
        <w:pStyle w:val="Zkladntext3"/>
        <w:spacing w:before="120" w:line="240" w:lineRule="auto"/>
        <w:rPr>
          <w:b w:val="0"/>
          <w:i w:val="0"/>
          <w:sz w:val="25"/>
          <w:szCs w:val="25"/>
        </w:rPr>
      </w:pPr>
    </w:p>
    <w:p w14:paraId="2018CBDB" w14:textId="77777777" w:rsidR="00275ECC" w:rsidRPr="00275ECC" w:rsidRDefault="00067CE2" w:rsidP="002378FC">
      <w:pPr>
        <w:pStyle w:val="Zkladntext3"/>
        <w:spacing w:before="120" w:line="240" w:lineRule="auto"/>
        <w:rPr>
          <w:b w:val="0"/>
          <w:i w:val="0"/>
          <w:sz w:val="25"/>
          <w:szCs w:val="25"/>
        </w:rPr>
      </w:pPr>
      <w:r>
        <w:rPr>
          <w:noProof/>
          <w:lang w:val="cs-CZ" w:eastAsia="cs-CZ"/>
        </w:rPr>
        <w:drawing>
          <wp:inline distT="0" distB="0" distL="0" distR="0" wp14:anchorId="6BC6F6B4" wp14:editId="4AF34563">
            <wp:extent cx="5755640" cy="5394325"/>
            <wp:effectExtent l="0" t="0" r="0" b="0"/>
            <wp:docPr id="41" name="objekt 4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72515005" w14:textId="77777777" w:rsidR="007F4106" w:rsidRDefault="007F4106" w:rsidP="007F4106"/>
    <w:p w14:paraId="3477CA40" w14:textId="77777777" w:rsidR="007F4106" w:rsidRDefault="007F4106" w:rsidP="007F4106"/>
    <w:p w14:paraId="7296CB98" w14:textId="77777777" w:rsidR="007F4106" w:rsidRDefault="007F4106" w:rsidP="007F4106"/>
    <w:p w14:paraId="1E0D77F6" w14:textId="77777777" w:rsidR="007F4106" w:rsidRDefault="007F4106" w:rsidP="007F4106"/>
    <w:p w14:paraId="05BFE805" w14:textId="77777777" w:rsidR="007F4106" w:rsidRDefault="007F4106" w:rsidP="007F4106"/>
    <w:p w14:paraId="2E34BE84" w14:textId="77777777" w:rsidR="004C13DF" w:rsidRPr="004E1087" w:rsidRDefault="004C13DF" w:rsidP="004C13DF">
      <w:pPr>
        <w:pStyle w:val="Zkladntext3"/>
        <w:spacing w:line="240" w:lineRule="auto"/>
        <w:rPr>
          <w:sz w:val="26"/>
          <w:szCs w:val="26"/>
        </w:rPr>
      </w:pPr>
      <w:r>
        <w:br w:type="page"/>
      </w:r>
    </w:p>
    <w:p w14:paraId="387D985C" w14:textId="77777777" w:rsidR="00DB5B72" w:rsidRPr="004E1087" w:rsidRDefault="00F63C3D" w:rsidP="00DB5B72">
      <w:pPr>
        <w:pStyle w:val="Zkladntext"/>
        <w:numPr>
          <w:ilvl w:val="0"/>
          <w:numId w:val="4"/>
        </w:numPr>
        <w:shd w:val="clear" w:color="auto" w:fill="FFFF99"/>
        <w:jc w:val="center"/>
        <w:rPr>
          <w:b/>
          <w:i w:val="0"/>
          <w:sz w:val="32"/>
          <w:szCs w:val="28"/>
        </w:rPr>
      </w:pPr>
      <w:r>
        <w:rPr>
          <w:b/>
          <w:i w:val="0"/>
          <w:sz w:val="32"/>
          <w:szCs w:val="28"/>
        </w:rPr>
        <w:t xml:space="preserve">Téměř dvoutřetinová většina občanů považuje zavedení elektronické evidence tržeb </w:t>
      </w:r>
      <w:r w:rsidR="00F8768C">
        <w:rPr>
          <w:b/>
          <w:i w:val="0"/>
          <w:sz w:val="32"/>
          <w:szCs w:val="28"/>
          <w:lang w:val="cs-CZ"/>
        </w:rPr>
        <w:t xml:space="preserve">celkově </w:t>
      </w:r>
      <w:r>
        <w:rPr>
          <w:b/>
          <w:i w:val="0"/>
          <w:sz w:val="32"/>
          <w:szCs w:val="28"/>
        </w:rPr>
        <w:t>za pozitivní opatření</w:t>
      </w:r>
      <w:r w:rsidR="00DB5B72">
        <w:rPr>
          <w:b/>
          <w:i w:val="0"/>
          <w:sz w:val="32"/>
          <w:szCs w:val="28"/>
        </w:rPr>
        <w:t>.</w:t>
      </w:r>
    </w:p>
    <w:p w14:paraId="454AC30F" w14:textId="77777777" w:rsidR="00DB5B72" w:rsidRDefault="00D77605" w:rsidP="00DB5B72">
      <w:pPr>
        <w:pStyle w:val="Zkladntext"/>
        <w:rPr>
          <w:b/>
          <w:i w:val="0"/>
          <w:szCs w:val="28"/>
        </w:rPr>
      </w:pPr>
      <w:r>
        <w:rPr>
          <w:b/>
          <w:i w:val="0"/>
          <w:szCs w:val="28"/>
        </w:rPr>
        <w:pict w14:anchorId="71B9B350">
          <v:rect id="_x0000_i1037" style="width:453.6pt;height:2pt" o:hralign="center" o:hrstd="t" o:hrnoshade="t" o:hr="t" fillcolor="#603" stroked="f"/>
        </w:pict>
      </w:r>
    </w:p>
    <w:p w14:paraId="6029F4C8" w14:textId="77777777" w:rsidR="00DB5B72" w:rsidRDefault="00DB5B72" w:rsidP="00DB5B72">
      <w:pPr>
        <w:tabs>
          <w:tab w:val="left" w:pos="7635"/>
        </w:tabs>
        <w:rPr>
          <w:b/>
          <w:bCs/>
          <w:i/>
          <w:sz w:val="28"/>
          <w:szCs w:val="28"/>
        </w:rPr>
      </w:pPr>
    </w:p>
    <w:p w14:paraId="44A090CC" w14:textId="77777777" w:rsidR="00DB5B72" w:rsidRDefault="00DB5B72" w:rsidP="00DB5B72">
      <w:pPr>
        <w:pStyle w:val="Zkladntext3"/>
        <w:spacing w:line="240" w:lineRule="auto"/>
        <w:rPr>
          <w:b w:val="0"/>
          <w:bCs/>
          <w:iCs w:val="0"/>
        </w:rPr>
      </w:pPr>
      <w:r w:rsidRPr="00844E91">
        <w:rPr>
          <w:b w:val="0"/>
          <w:bCs/>
          <w:iCs w:val="0"/>
        </w:rPr>
        <w:t>„</w:t>
      </w:r>
      <w:r>
        <w:rPr>
          <w:b w:val="0"/>
          <w:bCs/>
          <w:iCs w:val="0"/>
        </w:rPr>
        <w:t xml:space="preserve">Když zvážíte všechny okolnosti pro a proti elektronické evidence tržeb, </w:t>
      </w:r>
      <w:r>
        <w:rPr>
          <w:b w:val="0"/>
          <w:bCs/>
          <w:iCs w:val="0"/>
        </w:rPr>
        <w:br/>
        <w:t>je její zavedení podle Vás:“</w:t>
      </w:r>
    </w:p>
    <w:p w14:paraId="5EDFAA6A" w14:textId="77777777" w:rsidR="00DB5B72" w:rsidRDefault="00DB5B72" w:rsidP="00DB5B72">
      <w:pPr>
        <w:pStyle w:val="Zkladntext3"/>
        <w:spacing w:line="240" w:lineRule="auto"/>
        <w:rPr>
          <w:b w:val="0"/>
          <w:bCs/>
          <w:iCs w:val="0"/>
        </w:rPr>
      </w:pPr>
    </w:p>
    <w:p w14:paraId="45998936" w14:textId="77777777" w:rsidR="00DB5B72" w:rsidRPr="002378FC" w:rsidRDefault="00DB5B72" w:rsidP="00DB5B72">
      <w:pPr>
        <w:pStyle w:val="Zkladntext3"/>
        <w:spacing w:line="240" w:lineRule="auto"/>
        <w:rPr>
          <w:b w:val="0"/>
          <w:i w:val="0"/>
          <w:sz w:val="25"/>
          <w:szCs w:val="25"/>
        </w:rPr>
      </w:pPr>
      <w:r w:rsidRPr="002378FC">
        <w:rPr>
          <w:b w:val="0"/>
          <w:i w:val="0"/>
          <w:sz w:val="25"/>
          <w:szCs w:val="25"/>
        </w:rPr>
        <w:t xml:space="preserve">(Počet respondentů: </w:t>
      </w:r>
      <w:r w:rsidR="00F63C3D">
        <w:rPr>
          <w:b w:val="0"/>
          <w:i w:val="0"/>
          <w:sz w:val="25"/>
          <w:szCs w:val="25"/>
        </w:rPr>
        <w:t>931</w:t>
      </w:r>
      <w:r w:rsidRPr="002378FC">
        <w:rPr>
          <w:b w:val="0"/>
          <w:i w:val="0"/>
          <w:sz w:val="25"/>
          <w:szCs w:val="25"/>
        </w:rPr>
        <w:t>)</w:t>
      </w:r>
    </w:p>
    <w:p w14:paraId="2E31BB41" w14:textId="77777777" w:rsidR="00DB5B72" w:rsidRDefault="00DB5B72" w:rsidP="00DB5B72">
      <w:pPr>
        <w:rPr>
          <w:i/>
          <w:color w:val="FF0000"/>
          <w:sz w:val="26"/>
          <w:szCs w:val="26"/>
        </w:rPr>
      </w:pPr>
      <w:r>
        <w:rPr>
          <w:b/>
          <w:noProof/>
          <w:color w:val="FF0000"/>
        </w:rPr>
        <w:drawing>
          <wp:inline distT="0" distB="0" distL="0" distR="0" wp14:anchorId="7C2107C8" wp14:editId="1A349073">
            <wp:extent cx="5755640" cy="3027680"/>
            <wp:effectExtent l="0" t="0" r="0" b="0"/>
            <wp:docPr id="15" name="objekt 4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44E96FE6" w14:textId="77777777" w:rsidR="00DB5B72" w:rsidRPr="00A660DA" w:rsidRDefault="00DB5B72" w:rsidP="00DB5B72">
      <w:pPr>
        <w:jc w:val="center"/>
        <w:rPr>
          <w:i/>
        </w:rPr>
      </w:pPr>
    </w:p>
    <w:p w14:paraId="4A76A8BD" w14:textId="77777777" w:rsidR="00DB5B72" w:rsidRDefault="00DB5B72" w:rsidP="00DB5B72"/>
    <w:p w14:paraId="453440DD" w14:textId="77777777" w:rsidR="00A33C6B" w:rsidRDefault="00A33C6B" w:rsidP="00A33C6B">
      <w:pPr>
        <w:numPr>
          <w:ilvl w:val="0"/>
          <w:numId w:val="1"/>
        </w:numPr>
        <w:spacing w:after="120" w:line="312" w:lineRule="auto"/>
        <w:jc w:val="both"/>
      </w:pPr>
      <w:r>
        <w:t xml:space="preserve">Elektronickou evidenci tržeb za pozitivní opatření častěji považují lidé starší 60 let, muži a také ti, kteří nemají zkušenost s hotovostními tržbami z podnikání. </w:t>
      </w:r>
    </w:p>
    <w:p w14:paraId="00A92ED6" w14:textId="77777777" w:rsidR="00A33C6B" w:rsidRDefault="00A33C6B" w:rsidP="00A33C6B">
      <w:pPr>
        <w:numPr>
          <w:ilvl w:val="0"/>
          <w:numId w:val="1"/>
        </w:numPr>
        <w:spacing w:after="120" w:line="312" w:lineRule="auto"/>
        <w:jc w:val="both"/>
      </w:pPr>
      <w:r>
        <w:t xml:space="preserve">Podíl odpovědí, že zavedení EET je negativním opatřením, je mírně vyšší mezi </w:t>
      </w:r>
      <w:r w:rsidR="009133BD">
        <w:t>lidmi mladšími 45 let a ženami, ovšem i u nich jde o menšinové stanovisko.</w:t>
      </w:r>
    </w:p>
    <w:p w14:paraId="75768555" w14:textId="77777777" w:rsidR="009133BD" w:rsidRDefault="009133BD" w:rsidP="00A33C6B">
      <w:pPr>
        <w:numPr>
          <w:ilvl w:val="0"/>
          <w:numId w:val="1"/>
        </w:numPr>
        <w:spacing w:after="120" w:line="312" w:lineRule="auto"/>
        <w:jc w:val="both"/>
      </w:pPr>
      <w:r>
        <w:t>Mezi lidmi, kteří mají osobní nebo v rodině zprostředkovanou zkušenost s podnikáním, mírně převažuje negativní hodnocení elektronické evidence tržeb.</w:t>
      </w:r>
    </w:p>
    <w:p w14:paraId="5EE5F38E" w14:textId="77777777" w:rsidR="00A33C6B" w:rsidRDefault="009133BD" w:rsidP="00A33C6B">
      <w:pPr>
        <w:numPr>
          <w:ilvl w:val="0"/>
          <w:numId w:val="1"/>
        </w:numPr>
        <w:spacing w:after="120" w:line="312" w:lineRule="auto"/>
        <w:jc w:val="both"/>
      </w:pPr>
      <w:r>
        <w:t xml:space="preserve">V závislosti na </w:t>
      </w:r>
      <w:r w:rsidR="00A33C6B">
        <w:t>politických preferencí</w:t>
      </w:r>
      <w:r>
        <w:t>ch</w:t>
      </w:r>
      <w:r w:rsidR="00A33C6B">
        <w:t xml:space="preserve"> je zavedení elektronických pokladen pozitivním krokem především podle sympatizantů hnutí ANO, dále také podle stoupenců ČSSD. Naopak mezi příznivci ODS a TOP 09 jasně převažuje názor, že jde o negativní opatření. </w:t>
      </w:r>
    </w:p>
    <w:p w14:paraId="36BD86B2" w14:textId="77777777" w:rsidR="00A06319" w:rsidRDefault="00A06319" w:rsidP="00DB5B72"/>
    <w:p w14:paraId="1FE53B06" w14:textId="77777777" w:rsidR="00A06319" w:rsidRDefault="00A06319" w:rsidP="00A06319">
      <w:pPr>
        <w:pStyle w:val="Zkladntext3"/>
        <w:spacing w:after="120" w:line="240" w:lineRule="auto"/>
        <w:rPr>
          <w:sz w:val="25"/>
          <w:szCs w:val="25"/>
        </w:rPr>
      </w:pPr>
      <w:r w:rsidRPr="009D05B0">
        <w:rPr>
          <w:noProof/>
          <w:lang w:val="cs-CZ" w:eastAsia="cs-CZ"/>
        </w:rPr>
        <w:drawing>
          <wp:inline distT="0" distB="0" distL="0" distR="0" wp14:anchorId="6D964AF0" wp14:editId="39C5DE1C">
            <wp:extent cx="5770709" cy="3995697"/>
            <wp:effectExtent l="0" t="0" r="0" b="0"/>
            <wp:docPr id="32"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38161F49" w14:textId="77777777" w:rsidR="00A06319" w:rsidRDefault="00A06319" w:rsidP="00A06319">
      <w:pPr>
        <w:pStyle w:val="Zkladntext3"/>
        <w:spacing w:after="120" w:line="240" w:lineRule="auto"/>
        <w:rPr>
          <w:b w:val="0"/>
          <w:i w:val="0"/>
          <w:sz w:val="20"/>
          <w:szCs w:val="20"/>
        </w:rPr>
      </w:pPr>
      <w:r>
        <w:rPr>
          <w:b w:val="0"/>
          <w:i w:val="0"/>
          <w:sz w:val="20"/>
          <w:szCs w:val="20"/>
        </w:rPr>
        <w:t>Pramen: EET II., STEM, květen 2016, 1010 respondentů (931 respondentů)</w:t>
      </w:r>
    </w:p>
    <w:p w14:paraId="43BAFFA6" w14:textId="77777777" w:rsidR="00A06319" w:rsidRDefault="00A06319" w:rsidP="00A06319">
      <w:pPr>
        <w:spacing w:line="360" w:lineRule="auto"/>
        <w:jc w:val="both"/>
      </w:pPr>
    </w:p>
    <w:p w14:paraId="77EE4BC2" w14:textId="77777777" w:rsidR="00A06319" w:rsidRDefault="00A06319" w:rsidP="00A06319">
      <w:pPr>
        <w:pStyle w:val="Zkladntext3"/>
        <w:spacing w:after="120" w:line="240" w:lineRule="auto"/>
        <w:rPr>
          <w:sz w:val="25"/>
          <w:szCs w:val="25"/>
        </w:rPr>
      </w:pPr>
      <w:r>
        <w:rPr>
          <w:noProof/>
          <w:lang w:val="cs-CZ" w:eastAsia="cs-CZ"/>
        </w:rPr>
        <w:drawing>
          <wp:inline distT="0" distB="0" distL="0" distR="0" wp14:anchorId="76E6BB00" wp14:editId="0CA0DF3F">
            <wp:extent cx="5770709" cy="3488551"/>
            <wp:effectExtent l="0" t="0" r="0" b="0"/>
            <wp:docPr id="33"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0BDD441F" w14:textId="77777777" w:rsidR="00A06319" w:rsidRDefault="00A06319" w:rsidP="00A06319">
      <w:pPr>
        <w:pStyle w:val="Zkladntext3"/>
        <w:spacing w:after="120" w:line="240" w:lineRule="auto"/>
        <w:rPr>
          <w:b w:val="0"/>
          <w:i w:val="0"/>
          <w:sz w:val="20"/>
          <w:szCs w:val="20"/>
        </w:rPr>
      </w:pPr>
      <w:r>
        <w:rPr>
          <w:b w:val="0"/>
          <w:i w:val="0"/>
          <w:sz w:val="20"/>
          <w:szCs w:val="20"/>
        </w:rPr>
        <w:t>Pramen: EET II., STEM, květen 2016, 1010 respondentů (931 respondentů)</w:t>
      </w:r>
    </w:p>
    <w:p w14:paraId="428B0971" w14:textId="77777777" w:rsidR="00A06319" w:rsidRDefault="00A06319" w:rsidP="00A06319">
      <w:pPr>
        <w:pStyle w:val="Zkladntext3"/>
        <w:spacing w:after="120" w:line="240" w:lineRule="auto"/>
        <w:rPr>
          <w:sz w:val="25"/>
          <w:szCs w:val="25"/>
        </w:rPr>
      </w:pPr>
      <w:r>
        <w:rPr>
          <w:noProof/>
          <w:lang w:val="cs-CZ" w:eastAsia="cs-CZ"/>
        </w:rPr>
        <w:drawing>
          <wp:inline distT="0" distB="0" distL="0" distR="0" wp14:anchorId="12A12B43" wp14:editId="789EA522">
            <wp:extent cx="5770709" cy="4426004"/>
            <wp:effectExtent l="0" t="0" r="1905" b="0"/>
            <wp:docPr id="34"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6AF60605" w14:textId="77777777" w:rsidR="00A06319" w:rsidRDefault="00A06319" w:rsidP="00A06319">
      <w:pPr>
        <w:pStyle w:val="Zkladntext3"/>
        <w:spacing w:after="120" w:line="240" w:lineRule="auto"/>
        <w:rPr>
          <w:b w:val="0"/>
          <w:i w:val="0"/>
          <w:sz w:val="20"/>
          <w:szCs w:val="20"/>
        </w:rPr>
      </w:pPr>
      <w:r>
        <w:rPr>
          <w:b w:val="0"/>
          <w:i w:val="0"/>
          <w:sz w:val="20"/>
          <w:szCs w:val="20"/>
        </w:rPr>
        <w:t>Pramen: EET II., STEM, květen 2016, 1010 respondentů (931 respondentů)</w:t>
      </w:r>
    </w:p>
    <w:p w14:paraId="7B51E313" w14:textId="77777777" w:rsidR="00A06319" w:rsidRDefault="00A06319" w:rsidP="00DB5B72"/>
    <w:p w14:paraId="0F815A73" w14:textId="77777777" w:rsidR="00FB0A96" w:rsidRDefault="00FB0A96" w:rsidP="00FB0A96">
      <w:pPr>
        <w:pStyle w:val="Zkladntext3"/>
        <w:spacing w:after="120" w:line="240" w:lineRule="auto"/>
        <w:rPr>
          <w:sz w:val="25"/>
          <w:szCs w:val="25"/>
        </w:rPr>
      </w:pPr>
      <w:r>
        <w:rPr>
          <w:noProof/>
          <w:lang w:val="cs-CZ" w:eastAsia="cs-CZ"/>
        </w:rPr>
        <w:drawing>
          <wp:inline distT="0" distB="0" distL="0" distR="0" wp14:anchorId="061CA036" wp14:editId="133AF2F7">
            <wp:extent cx="5770709" cy="3488551"/>
            <wp:effectExtent l="0" t="0" r="0" b="0"/>
            <wp:docPr id="52"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70779BB5" w14:textId="77777777" w:rsidR="00FB0A96" w:rsidRDefault="00FB0A96" w:rsidP="00FB0A96">
      <w:pPr>
        <w:pStyle w:val="Zkladntext3"/>
        <w:spacing w:after="120" w:line="240" w:lineRule="auto"/>
        <w:rPr>
          <w:b w:val="0"/>
          <w:i w:val="0"/>
          <w:sz w:val="20"/>
          <w:szCs w:val="20"/>
        </w:rPr>
      </w:pPr>
      <w:r>
        <w:rPr>
          <w:b w:val="0"/>
          <w:i w:val="0"/>
          <w:sz w:val="20"/>
          <w:szCs w:val="20"/>
        </w:rPr>
        <w:t>Pramen: EET II., STEM, květen 2016, 1010 respondentů (931 respondentů)</w:t>
      </w:r>
    </w:p>
    <w:p w14:paraId="379D55DB" w14:textId="77777777" w:rsidR="00DB5B72" w:rsidRPr="004E1087" w:rsidRDefault="00DB5B72" w:rsidP="00DB5B72">
      <w:pPr>
        <w:pStyle w:val="Zkladntext3"/>
        <w:spacing w:line="240" w:lineRule="auto"/>
        <w:rPr>
          <w:sz w:val="26"/>
          <w:szCs w:val="26"/>
        </w:rPr>
      </w:pPr>
      <w:r>
        <w:br w:type="page"/>
      </w:r>
    </w:p>
    <w:p w14:paraId="29F38A00" w14:textId="77777777" w:rsidR="004C13DF" w:rsidRPr="004E1087" w:rsidRDefault="00FB0A96" w:rsidP="00DB5B72">
      <w:pPr>
        <w:pStyle w:val="Zkladntext"/>
        <w:numPr>
          <w:ilvl w:val="0"/>
          <w:numId w:val="4"/>
        </w:numPr>
        <w:shd w:val="clear" w:color="auto" w:fill="FFFF99"/>
        <w:jc w:val="center"/>
        <w:rPr>
          <w:b/>
          <w:i w:val="0"/>
          <w:sz w:val="32"/>
          <w:szCs w:val="28"/>
        </w:rPr>
      </w:pPr>
      <w:r>
        <w:rPr>
          <w:b/>
          <w:i w:val="0"/>
          <w:sz w:val="32"/>
          <w:szCs w:val="28"/>
        </w:rPr>
        <w:t>Dvoutřetinová většina dotázaných se o elektronické evidenci tržeb nejvíce dozvěděla ze zpravodajství v tisku či televizi. Ostatní zdroje jsou spíše okrajové</w:t>
      </w:r>
      <w:r w:rsidR="004C13DF">
        <w:rPr>
          <w:b/>
          <w:i w:val="0"/>
          <w:sz w:val="32"/>
          <w:szCs w:val="28"/>
        </w:rPr>
        <w:t>.</w:t>
      </w:r>
      <w:r>
        <w:rPr>
          <w:b/>
          <w:i w:val="0"/>
          <w:sz w:val="32"/>
          <w:szCs w:val="28"/>
        </w:rPr>
        <w:t xml:space="preserve"> Určitou roli hraje pouze zpravodajství na internetu.</w:t>
      </w:r>
    </w:p>
    <w:p w14:paraId="7F01FADD" w14:textId="77777777" w:rsidR="004C13DF" w:rsidRDefault="00D77605" w:rsidP="004C13DF">
      <w:pPr>
        <w:pStyle w:val="Zkladntext"/>
        <w:rPr>
          <w:b/>
          <w:i w:val="0"/>
          <w:szCs w:val="28"/>
        </w:rPr>
      </w:pPr>
      <w:r>
        <w:rPr>
          <w:b/>
          <w:i w:val="0"/>
          <w:szCs w:val="28"/>
        </w:rPr>
        <w:pict w14:anchorId="57879BCF">
          <v:rect id="_x0000_i1038" style="width:453.6pt;height:2pt" o:hralign="center" o:hrstd="t" o:hrnoshade="t" o:hr="t" fillcolor="#603" stroked="f"/>
        </w:pict>
      </w:r>
    </w:p>
    <w:p w14:paraId="0A01DA76" w14:textId="77777777" w:rsidR="004C13DF" w:rsidRDefault="004C13DF" w:rsidP="004C13DF">
      <w:pPr>
        <w:tabs>
          <w:tab w:val="left" w:pos="7635"/>
        </w:tabs>
        <w:rPr>
          <w:b/>
          <w:bCs/>
          <w:i/>
          <w:sz w:val="28"/>
          <w:szCs w:val="28"/>
        </w:rPr>
      </w:pPr>
    </w:p>
    <w:p w14:paraId="0426A32F" w14:textId="77777777" w:rsidR="00DB5B72" w:rsidRDefault="00DB5B72" w:rsidP="00DB5B72">
      <w:pPr>
        <w:pStyle w:val="Zkladntext3"/>
        <w:spacing w:line="240" w:lineRule="auto"/>
        <w:rPr>
          <w:b w:val="0"/>
          <w:bCs/>
          <w:iCs w:val="0"/>
        </w:rPr>
      </w:pPr>
      <w:r w:rsidRPr="00844E91">
        <w:rPr>
          <w:b w:val="0"/>
          <w:bCs/>
          <w:iCs w:val="0"/>
        </w:rPr>
        <w:t>„</w:t>
      </w:r>
      <w:r>
        <w:rPr>
          <w:b w:val="0"/>
          <w:bCs/>
          <w:iCs w:val="0"/>
        </w:rPr>
        <w:t>Kde jste se Vy osobně o elektronické evidenci tržeb dozvěděl(a) nejvíce</w:t>
      </w:r>
      <w:r w:rsidRPr="00844E91">
        <w:rPr>
          <w:b w:val="0"/>
          <w:bCs/>
          <w:iCs w:val="0"/>
        </w:rPr>
        <w:t>?“</w:t>
      </w:r>
    </w:p>
    <w:p w14:paraId="594EEC08" w14:textId="77777777" w:rsidR="00DB5B72" w:rsidRDefault="00DB5B72" w:rsidP="00DB5B72">
      <w:pPr>
        <w:pStyle w:val="Zkladntext3"/>
        <w:spacing w:line="240" w:lineRule="auto"/>
        <w:rPr>
          <w:b w:val="0"/>
          <w:bCs/>
          <w:iCs w:val="0"/>
        </w:rPr>
      </w:pPr>
    </w:p>
    <w:p w14:paraId="43C1E452" w14:textId="77777777" w:rsidR="00DB5B72" w:rsidRPr="002378FC" w:rsidRDefault="00DB5B72" w:rsidP="00DB5B72">
      <w:pPr>
        <w:pStyle w:val="Zkladntext3"/>
        <w:spacing w:line="240" w:lineRule="auto"/>
        <w:rPr>
          <w:b w:val="0"/>
          <w:i w:val="0"/>
          <w:sz w:val="25"/>
          <w:szCs w:val="25"/>
        </w:rPr>
      </w:pPr>
      <w:r w:rsidRPr="002378FC">
        <w:rPr>
          <w:b w:val="0"/>
          <w:i w:val="0"/>
          <w:sz w:val="25"/>
          <w:szCs w:val="25"/>
        </w:rPr>
        <w:t xml:space="preserve">(Počet respondentů: </w:t>
      </w:r>
      <w:r w:rsidR="00A06319">
        <w:rPr>
          <w:b w:val="0"/>
          <w:i w:val="0"/>
          <w:sz w:val="25"/>
          <w:szCs w:val="25"/>
        </w:rPr>
        <w:t>931</w:t>
      </w:r>
      <w:r w:rsidRPr="002378FC">
        <w:rPr>
          <w:b w:val="0"/>
          <w:i w:val="0"/>
          <w:sz w:val="25"/>
          <w:szCs w:val="25"/>
        </w:rPr>
        <w:t>)</w:t>
      </w:r>
    </w:p>
    <w:p w14:paraId="0060E979" w14:textId="77777777" w:rsidR="00DB5B72" w:rsidRDefault="00DB5B72" w:rsidP="00DB5B72">
      <w:pPr>
        <w:rPr>
          <w:b/>
          <w:color w:val="FF0000"/>
        </w:rPr>
      </w:pPr>
      <w:r>
        <w:rPr>
          <w:b/>
          <w:noProof/>
          <w:color w:val="FF0000"/>
        </w:rPr>
        <w:drawing>
          <wp:inline distT="0" distB="0" distL="0" distR="0" wp14:anchorId="0871493E" wp14:editId="7D13785B">
            <wp:extent cx="5678805" cy="2874010"/>
            <wp:effectExtent l="0" t="0" r="0" b="0"/>
            <wp:docPr id="13" name="objekt 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20E9659B" w14:textId="77777777" w:rsidR="004C13DF" w:rsidRDefault="004C13DF" w:rsidP="004C13DF"/>
    <w:p w14:paraId="34EBA9F3" w14:textId="77777777" w:rsidR="00A06319" w:rsidRDefault="00A06319" w:rsidP="004C13DF"/>
    <w:p w14:paraId="4FE3B1CF" w14:textId="77777777" w:rsidR="009133BD" w:rsidRDefault="009133BD" w:rsidP="009133BD"/>
    <w:p w14:paraId="6D292691" w14:textId="77777777" w:rsidR="00F8768C" w:rsidRDefault="009133BD" w:rsidP="009133BD">
      <w:pPr>
        <w:numPr>
          <w:ilvl w:val="0"/>
          <w:numId w:val="1"/>
        </w:numPr>
        <w:spacing w:after="120" w:line="312" w:lineRule="auto"/>
        <w:jc w:val="both"/>
      </w:pPr>
      <w:r>
        <w:t xml:space="preserve">Zpravodajství v tisku či televizi je dominantním informačním zdrojem ve všech skupinách obyvatel. </w:t>
      </w:r>
    </w:p>
    <w:p w14:paraId="5EB976BE" w14:textId="77777777" w:rsidR="009133BD" w:rsidRDefault="009133BD" w:rsidP="009133BD">
      <w:pPr>
        <w:numPr>
          <w:ilvl w:val="0"/>
          <w:numId w:val="1"/>
        </w:numPr>
        <w:spacing w:after="120" w:line="312" w:lineRule="auto"/>
        <w:jc w:val="both"/>
      </w:pPr>
      <w:r>
        <w:t xml:space="preserve">Určité rozdíly však zjišťujeme v různých věkových skupinách. Mezi mladými lidmi do </w:t>
      </w:r>
      <w:r w:rsidR="00F8768C">
        <w:br/>
      </w:r>
      <w:r>
        <w:t>30 let je podíl těch, kteří se o elektronické evidenci tržeb dozvěděli nejvíce z tisku nebo televize, výrazně nižší než v ostatních věkových kategoriích. U mladých hrají významnou roli také informace z internetu a od přátel a známých.</w:t>
      </w:r>
    </w:p>
    <w:p w14:paraId="0C0D50C9" w14:textId="77777777" w:rsidR="00F8768C" w:rsidRDefault="00F8768C" w:rsidP="009133BD">
      <w:pPr>
        <w:numPr>
          <w:ilvl w:val="0"/>
          <w:numId w:val="1"/>
        </w:numPr>
        <w:spacing w:after="120" w:line="312" w:lineRule="auto"/>
        <w:jc w:val="both"/>
      </w:pPr>
      <w:r>
        <w:t>Lidé, kteří považují zavedení elektronických pokladen za špatný krok, své informace k této problematice čerpali méně často ze zpravodajství v tisku či televizi</w:t>
      </w:r>
      <w:r w:rsidR="00441923">
        <w:t>, naopak poněkud častěji z internetových zdrojů či od přátel a známých.</w:t>
      </w:r>
    </w:p>
    <w:p w14:paraId="75E0E8DC" w14:textId="77777777" w:rsidR="009133BD" w:rsidRDefault="009133BD" w:rsidP="004C13DF"/>
    <w:p w14:paraId="505248D1" w14:textId="77777777" w:rsidR="00A06319" w:rsidRDefault="00A06319" w:rsidP="00A06319">
      <w:pPr>
        <w:pStyle w:val="Zkladntext3"/>
        <w:spacing w:after="120" w:line="240" w:lineRule="auto"/>
        <w:rPr>
          <w:sz w:val="25"/>
          <w:szCs w:val="25"/>
        </w:rPr>
      </w:pPr>
      <w:r w:rsidRPr="009D05B0">
        <w:rPr>
          <w:noProof/>
          <w:lang w:val="cs-CZ" w:eastAsia="cs-CZ"/>
        </w:rPr>
        <w:drawing>
          <wp:inline distT="0" distB="0" distL="0" distR="0" wp14:anchorId="6EFD3B09" wp14:editId="03CEAB67">
            <wp:extent cx="5770709" cy="3926541"/>
            <wp:effectExtent l="0" t="0" r="0" b="0"/>
            <wp:docPr id="35"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7FC04E5E" w14:textId="77777777" w:rsidR="00A06319" w:rsidRDefault="00A06319" w:rsidP="00A06319">
      <w:pPr>
        <w:pStyle w:val="Zkladntext3"/>
        <w:spacing w:after="120" w:line="240" w:lineRule="auto"/>
        <w:rPr>
          <w:b w:val="0"/>
          <w:i w:val="0"/>
          <w:sz w:val="20"/>
          <w:szCs w:val="20"/>
        </w:rPr>
      </w:pPr>
      <w:r>
        <w:rPr>
          <w:b w:val="0"/>
          <w:i w:val="0"/>
          <w:sz w:val="20"/>
          <w:szCs w:val="20"/>
        </w:rPr>
        <w:t>Pramen: EET II., STEM, květen 2016, 1010 respondentů (931 respondentů)</w:t>
      </w:r>
    </w:p>
    <w:p w14:paraId="0F8B6131" w14:textId="77777777" w:rsidR="00A06319" w:rsidRDefault="00A06319" w:rsidP="00F8768C">
      <w:pPr>
        <w:jc w:val="both"/>
      </w:pPr>
    </w:p>
    <w:p w14:paraId="711C3DC9" w14:textId="77777777" w:rsidR="00F8768C" w:rsidRDefault="00F8768C" w:rsidP="00F8768C">
      <w:pPr>
        <w:pStyle w:val="Zkladntext3"/>
        <w:spacing w:after="120" w:line="240" w:lineRule="auto"/>
        <w:rPr>
          <w:sz w:val="25"/>
          <w:szCs w:val="25"/>
        </w:rPr>
      </w:pPr>
      <w:r w:rsidRPr="009D05B0">
        <w:rPr>
          <w:noProof/>
          <w:lang w:val="cs-CZ" w:eastAsia="cs-CZ"/>
        </w:rPr>
        <w:drawing>
          <wp:inline distT="0" distB="0" distL="0" distR="0" wp14:anchorId="2A924DE2" wp14:editId="49C2AB2C">
            <wp:extent cx="5770709" cy="3957277"/>
            <wp:effectExtent l="0" t="0" r="0" b="0"/>
            <wp:docPr id="62"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637B2F92" w14:textId="77777777" w:rsidR="00F8768C" w:rsidRDefault="00F8768C" w:rsidP="00F8768C">
      <w:pPr>
        <w:pStyle w:val="Zkladntext3"/>
        <w:spacing w:after="120" w:line="240" w:lineRule="auto"/>
        <w:rPr>
          <w:b w:val="0"/>
          <w:i w:val="0"/>
          <w:sz w:val="20"/>
          <w:szCs w:val="20"/>
        </w:rPr>
      </w:pPr>
      <w:r>
        <w:rPr>
          <w:b w:val="0"/>
          <w:i w:val="0"/>
          <w:sz w:val="20"/>
          <w:szCs w:val="20"/>
        </w:rPr>
        <w:t>Pramen: EET II., STEM, květen 2016, 1010 respondentů (931 respondentů)</w:t>
      </w:r>
    </w:p>
    <w:p w14:paraId="07DCCF15" w14:textId="77777777" w:rsidR="00DB5B72" w:rsidRDefault="00DB5B72">
      <w:r>
        <w:br w:type="page"/>
      </w:r>
    </w:p>
    <w:p w14:paraId="3D010057" w14:textId="77777777" w:rsidR="00DB5B72" w:rsidRPr="004E1087" w:rsidRDefault="00FB0A96" w:rsidP="00DB5B72">
      <w:pPr>
        <w:pStyle w:val="Zkladntext"/>
        <w:numPr>
          <w:ilvl w:val="0"/>
          <w:numId w:val="4"/>
        </w:numPr>
        <w:shd w:val="clear" w:color="auto" w:fill="FFFF99"/>
        <w:jc w:val="center"/>
        <w:rPr>
          <w:b/>
          <w:i w:val="0"/>
          <w:sz w:val="32"/>
          <w:szCs w:val="28"/>
        </w:rPr>
      </w:pPr>
      <w:r>
        <w:rPr>
          <w:b/>
          <w:i w:val="0"/>
          <w:sz w:val="32"/>
          <w:szCs w:val="28"/>
        </w:rPr>
        <w:t xml:space="preserve">Dvě pětiny občanů </w:t>
      </w:r>
      <w:r w:rsidR="00955380">
        <w:rPr>
          <w:b/>
          <w:i w:val="0"/>
          <w:sz w:val="32"/>
          <w:szCs w:val="28"/>
        </w:rPr>
        <w:t xml:space="preserve">vědí o elektronické evidenci tržeb, co potřebují. Ovšem třetina by se ráda dozvěděla více. </w:t>
      </w:r>
    </w:p>
    <w:p w14:paraId="6A76EDC8" w14:textId="77777777" w:rsidR="00DB5B72" w:rsidRDefault="00D77605" w:rsidP="00DB5B72">
      <w:pPr>
        <w:pStyle w:val="Zkladntext"/>
        <w:rPr>
          <w:b/>
          <w:i w:val="0"/>
          <w:szCs w:val="28"/>
        </w:rPr>
      </w:pPr>
      <w:r>
        <w:rPr>
          <w:b/>
          <w:i w:val="0"/>
          <w:szCs w:val="28"/>
        </w:rPr>
        <w:pict w14:anchorId="4C2D892E">
          <v:rect id="_x0000_i1039" style="width:453.6pt;height:2pt" o:hralign="center" o:hrstd="t" o:hrnoshade="t" o:hr="t" fillcolor="#603" stroked="f"/>
        </w:pict>
      </w:r>
    </w:p>
    <w:p w14:paraId="6F8D0C3D" w14:textId="77777777" w:rsidR="00DB5B72" w:rsidRDefault="00DB5B72" w:rsidP="00DB5B72">
      <w:pPr>
        <w:tabs>
          <w:tab w:val="left" w:pos="7635"/>
        </w:tabs>
        <w:rPr>
          <w:b/>
          <w:bCs/>
          <w:i/>
          <w:sz w:val="28"/>
          <w:szCs w:val="28"/>
        </w:rPr>
      </w:pPr>
    </w:p>
    <w:p w14:paraId="111B604C" w14:textId="77777777" w:rsidR="00DB5B72" w:rsidRDefault="00DB5B72" w:rsidP="00DB5B72">
      <w:pPr>
        <w:pStyle w:val="Zkladntext3"/>
        <w:spacing w:line="240" w:lineRule="auto"/>
        <w:rPr>
          <w:b w:val="0"/>
          <w:bCs/>
          <w:iCs w:val="0"/>
        </w:rPr>
      </w:pPr>
      <w:r w:rsidRPr="00844E91">
        <w:rPr>
          <w:b w:val="0"/>
          <w:bCs/>
          <w:iCs w:val="0"/>
        </w:rPr>
        <w:t>„</w:t>
      </w:r>
      <w:r>
        <w:rPr>
          <w:b w:val="0"/>
          <w:bCs/>
          <w:iCs w:val="0"/>
        </w:rPr>
        <w:t>Řekl(a) byste, že o elektronické evidenci tržeb:</w:t>
      </w:r>
      <w:r w:rsidRPr="00844E91">
        <w:rPr>
          <w:b w:val="0"/>
          <w:bCs/>
          <w:iCs w:val="0"/>
        </w:rPr>
        <w:t>“</w:t>
      </w:r>
    </w:p>
    <w:p w14:paraId="6249F8E2" w14:textId="77777777" w:rsidR="00DB5B72" w:rsidRDefault="00DB5B72" w:rsidP="00DB5B72">
      <w:pPr>
        <w:pStyle w:val="Zkladntext3"/>
        <w:spacing w:line="240" w:lineRule="auto"/>
        <w:rPr>
          <w:b w:val="0"/>
          <w:bCs/>
          <w:iCs w:val="0"/>
        </w:rPr>
      </w:pPr>
    </w:p>
    <w:p w14:paraId="4ADDD58F" w14:textId="77777777" w:rsidR="00DB5B72" w:rsidRDefault="00DB5B72" w:rsidP="00DB5B72">
      <w:pPr>
        <w:pStyle w:val="Zkladntext3"/>
        <w:spacing w:line="240" w:lineRule="auto"/>
        <w:rPr>
          <w:b w:val="0"/>
          <w:i w:val="0"/>
          <w:sz w:val="25"/>
          <w:szCs w:val="25"/>
        </w:rPr>
      </w:pPr>
      <w:r w:rsidRPr="002378FC">
        <w:rPr>
          <w:b w:val="0"/>
          <w:i w:val="0"/>
          <w:sz w:val="25"/>
          <w:szCs w:val="25"/>
        </w:rPr>
        <w:t xml:space="preserve">(Počet respondentů: </w:t>
      </w:r>
      <w:r w:rsidR="00E24007">
        <w:rPr>
          <w:b w:val="0"/>
          <w:i w:val="0"/>
          <w:sz w:val="25"/>
          <w:szCs w:val="25"/>
        </w:rPr>
        <w:t>931</w:t>
      </w:r>
      <w:r w:rsidRPr="002378FC">
        <w:rPr>
          <w:b w:val="0"/>
          <w:i w:val="0"/>
          <w:sz w:val="25"/>
          <w:szCs w:val="25"/>
        </w:rPr>
        <w:t>)</w:t>
      </w:r>
    </w:p>
    <w:p w14:paraId="3B56B886" w14:textId="77777777" w:rsidR="00DB5B72" w:rsidRPr="00DB5B72" w:rsidRDefault="00DB5B72" w:rsidP="00DB5B72">
      <w:pPr>
        <w:pStyle w:val="Zkladntext3"/>
        <w:spacing w:line="240" w:lineRule="auto"/>
        <w:rPr>
          <w:b w:val="0"/>
          <w:i w:val="0"/>
          <w:sz w:val="25"/>
          <w:szCs w:val="25"/>
        </w:rPr>
      </w:pPr>
    </w:p>
    <w:p w14:paraId="08F1C3E6" w14:textId="77777777" w:rsidR="00DB5B72" w:rsidRDefault="00DB5B72" w:rsidP="00DB5B72">
      <w:pPr>
        <w:rPr>
          <w:b/>
          <w:color w:val="FF0000"/>
        </w:rPr>
      </w:pPr>
      <w:r>
        <w:rPr>
          <w:b/>
          <w:noProof/>
          <w:color w:val="FF0000"/>
        </w:rPr>
        <w:drawing>
          <wp:inline distT="0" distB="0" distL="0" distR="0" wp14:anchorId="09F48D85" wp14:editId="05E5D8B3">
            <wp:extent cx="5678805" cy="2874010"/>
            <wp:effectExtent l="0" t="0" r="0" b="0"/>
            <wp:docPr id="45" name="objekt 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3DF51284" w14:textId="77777777" w:rsidR="00DB5B72" w:rsidRDefault="00DB5B72" w:rsidP="00DB5B72"/>
    <w:p w14:paraId="7DD4221F" w14:textId="77777777" w:rsidR="00F241EF" w:rsidRDefault="00F241EF" w:rsidP="00DB5B72"/>
    <w:p w14:paraId="4E2E0D1A" w14:textId="77777777" w:rsidR="00F241EF" w:rsidRDefault="00F241EF" w:rsidP="00DB5B72"/>
    <w:p w14:paraId="57B97270" w14:textId="77777777" w:rsidR="00F241EF" w:rsidRDefault="00F241EF" w:rsidP="00955380">
      <w:pPr>
        <w:numPr>
          <w:ilvl w:val="0"/>
          <w:numId w:val="1"/>
        </w:numPr>
        <w:spacing w:after="120" w:line="312" w:lineRule="auto"/>
        <w:jc w:val="both"/>
      </w:pPr>
      <w:r>
        <w:t>Míra informovanosti o elektronické evidenci tržeb se zvyšuje s věkem. Téměř polovina lidí starších 45 let má již dostatek informací. Mezi lidmi do 30 let je nejvíce těch, kteří by se chtěli dozvědět více.</w:t>
      </w:r>
    </w:p>
    <w:p w14:paraId="00682448" w14:textId="77777777" w:rsidR="00955380" w:rsidRDefault="00F241EF" w:rsidP="00955380">
      <w:pPr>
        <w:numPr>
          <w:ilvl w:val="0"/>
          <w:numId w:val="1"/>
        </w:numPr>
        <w:spacing w:after="120" w:line="312" w:lineRule="auto"/>
        <w:jc w:val="both"/>
      </w:pPr>
      <w:r>
        <w:t xml:space="preserve">Dostatek informací o </w:t>
      </w:r>
      <w:r w:rsidR="00955380">
        <w:t xml:space="preserve">zavedení elektronických pokladen </w:t>
      </w:r>
      <w:r>
        <w:t>mají častěji muži než ženy. Mezi ženami je více než čtvrtina těch, které toto téma vůbec nezajímá.</w:t>
      </w:r>
    </w:p>
    <w:p w14:paraId="36449FB8" w14:textId="77777777" w:rsidR="00955380" w:rsidRDefault="00F241EF" w:rsidP="00955380">
      <w:pPr>
        <w:numPr>
          <w:ilvl w:val="0"/>
          <w:numId w:val="1"/>
        </w:numPr>
        <w:spacing w:after="120" w:line="312" w:lineRule="auto"/>
        <w:jc w:val="both"/>
      </w:pPr>
      <w:r>
        <w:t>V závislosti na vzdělání se odlišují lidé se základním vzděláním, je mezi nimi nejméně těch, kteří mají dost informací, a naopak nejvíce těch, kteří by se chtěli dozvědět více, a těch, které to vůbec nezajímá.</w:t>
      </w:r>
      <w:r w:rsidR="00955380">
        <w:t xml:space="preserve"> </w:t>
      </w:r>
    </w:p>
    <w:p w14:paraId="01B02D37" w14:textId="77777777" w:rsidR="00955380" w:rsidRDefault="00955380" w:rsidP="00DB5B72"/>
    <w:p w14:paraId="5EC350E6" w14:textId="77777777" w:rsidR="00E24007" w:rsidRDefault="00E24007">
      <w:r>
        <w:br w:type="page"/>
      </w:r>
    </w:p>
    <w:p w14:paraId="0603710F" w14:textId="77777777" w:rsidR="00E24007" w:rsidRDefault="00E24007" w:rsidP="00E24007">
      <w:pPr>
        <w:pStyle w:val="Zkladntext3"/>
        <w:spacing w:after="120" w:line="240" w:lineRule="auto"/>
        <w:rPr>
          <w:sz w:val="25"/>
          <w:szCs w:val="25"/>
        </w:rPr>
      </w:pPr>
      <w:r w:rsidRPr="009D05B0">
        <w:rPr>
          <w:noProof/>
          <w:lang w:val="cs-CZ" w:eastAsia="cs-CZ"/>
        </w:rPr>
        <w:drawing>
          <wp:inline distT="0" distB="0" distL="0" distR="0" wp14:anchorId="5DB6F30A" wp14:editId="7CE3961E">
            <wp:extent cx="5770709" cy="3995697"/>
            <wp:effectExtent l="0" t="0" r="0" b="0"/>
            <wp:docPr id="36"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4D150D56" w14:textId="77777777" w:rsidR="00E24007" w:rsidRDefault="00E24007" w:rsidP="00E24007">
      <w:pPr>
        <w:pStyle w:val="Zkladntext3"/>
        <w:spacing w:after="120" w:line="240" w:lineRule="auto"/>
        <w:rPr>
          <w:b w:val="0"/>
          <w:i w:val="0"/>
          <w:sz w:val="20"/>
          <w:szCs w:val="20"/>
        </w:rPr>
      </w:pPr>
      <w:r>
        <w:rPr>
          <w:b w:val="0"/>
          <w:i w:val="0"/>
          <w:sz w:val="20"/>
          <w:szCs w:val="20"/>
        </w:rPr>
        <w:t>Pramen: EET II., STEM, květen 2016, 1010 respondentů (931 respondentů)</w:t>
      </w:r>
    </w:p>
    <w:p w14:paraId="3BAD819F" w14:textId="77777777" w:rsidR="00E24007" w:rsidRDefault="00E24007" w:rsidP="00E24007">
      <w:pPr>
        <w:spacing w:line="360" w:lineRule="auto"/>
        <w:jc w:val="both"/>
      </w:pPr>
    </w:p>
    <w:p w14:paraId="0A528163" w14:textId="77777777" w:rsidR="00E24007" w:rsidRDefault="00E24007" w:rsidP="00E24007">
      <w:pPr>
        <w:pStyle w:val="Zkladntext3"/>
        <w:spacing w:after="120" w:line="240" w:lineRule="auto"/>
        <w:rPr>
          <w:sz w:val="25"/>
          <w:szCs w:val="25"/>
        </w:rPr>
      </w:pPr>
      <w:r w:rsidRPr="009D05B0">
        <w:rPr>
          <w:noProof/>
          <w:lang w:val="cs-CZ" w:eastAsia="cs-CZ"/>
        </w:rPr>
        <w:drawing>
          <wp:inline distT="0" distB="0" distL="0" distR="0" wp14:anchorId="039153E4" wp14:editId="69C31AAF">
            <wp:extent cx="5770709" cy="3995697"/>
            <wp:effectExtent l="0" t="0" r="0" b="0"/>
            <wp:docPr id="37"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1A3A7787" w14:textId="77777777" w:rsidR="00E24007" w:rsidRDefault="00E24007" w:rsidP="00E24007">
      <w:pPr>
        <w:pStyle w:val="Zkladntext3"/>
        <w:spacing w:after="120" w:line="240" w:lineRule="auto"/>
        <w:rPr>
          <w:b w:val="0"/>
          <w:i w:val="0"/>
          <w:sz w:val="20"/>
          <w:szCs w:val="20"/>
        </w:rPr>
      </w:pPr>
      <w:r>
        <w:rPr>
          <w:b w:val="0"/>
          <w:i w:val="0"/>
          <w:sz w:val="20"/>
          <w:szCs w:val="20"/>
        </w:rPr>
        <w:t>Pramen: EET II., STEM, květen 2016, 1010 respondentů (931 respondentů)</w:t>
      </w:r>
    </w:p>
    <w:p w14:paraId="5008313C" w14:textId="77777777" w:rsidR="00826D6C" w:rsidRDefault="00826D6C" w:rsidP="00826D6C">
      <w:pPr>
        <w:pStyle w:val="Zkladntext3"/>
        <w:spacing w:after="120" w:line="240" w:lineRule="auto"/>
        <w:rPr>
          <w:sz w:val="25"/>
          <w:szCs w:val="25"/>
        </w:rPr>
      </w:pPr>
      <w:r w:rsidRPr="009D05B0">
        <w:rPr>
          <w:noProof/>
          <w:lang w:val="cs-CZ" w:eastAsia="cs-CZ"/>
        </w:rPr>
        <w:drawing>
          <wp:inline distT="0" distB="0" distL="0" distR="0" wp14:anchorId="759F458E" wp14:editId="0963CCCC">
            <wp:extent cx="5770709" cy="3995697"/>
            <wp:effectExtent l="0" t="0" r="0" b="0"/>
            <wp:docPr id="38"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6555B7AA" w14:textId="77777777" w:rsidR="00826D6C" w:rsidRDefault="00826D6C" w:rsidP="00826D6C">
      <w:pPr>
        <w:pStyle w:val="Zkladntext3"/>
        <w:spacing w:after="120" w:line="240" w:lineRule="auto"/>
        <w:rPr>
          <w:b w:val="0"/>
          <w:i w:val="0"/>
          <w:sz w:val="20"/>
          <w:szCs w:val="20"/>
        </w:rPr>
      </w:pPr>
      <w:r>
        <w:rPr>
          <w:b w:val="0"/>
          <w:i w:val="0"/>
          <w:sz w:val="20"/>
          <w:szCs w:val="20"/>
        </w:rPr>
        <w:t>Pramen: EET II., STEM, květen 2016, 1010 respondentů (931 respondentů)</w:t>
      </w:r>
    </w:p>
    <w:p w14:paraId="2473F20A" w14:textId="77777777" w:rsidR="00E24007" w:rsidRDefault="00E24007" w:rsidP="00DB5B72"/>
    <w:p w14:paraId="0F193816" w14:textId="77777777" w:rsidR="00DB5B72" w:rsidRDefault="00DB5B72" w:rsidP="00DB5B72">
      <w:r>
        <w:br w:type="page"/>
      </w:r>
    </w:p>
    <w:p w14:paraId="55895E49" w14:textId="77777777" w:rsidR="00DB5B72" w:rsidRPr="004E1087" w:rsidRDefault="00F241EF" w:rsidP="00DB5B72">
      <w:pPr>
        <w:pStyle w:val="Zkladntext"/>
        <w:numPr>
          <w:ilvl w:val="0"/>
          <w:numId w:val="4"/>
        </w:numPr>
        <w:shd w:val="clear" w:color="auto" w:fill="FFFF99"/>
        <w:jc w:val="center"/>
        <w:rPr>
          <w:b/>
          <w:i w:val="0"/>
          <w:sz w:val="32"/>
          <w:szCs w:val="28"/>
        </w:rPr>
      </w:pPr>
      <w:r>
        <w:rPr>
          <w:b/>
          <w:i w:val="0"/>
          <w:sz w:val="32"/>
          <w:szCs w:val="28"/>
        </w:rPr>
        <w:t>Nadpoloviční většina dotázaných si myslí, že ví, kde informace o elektronické evidenci tržeb hledat</w:t>
      </w:r>
      <w:r w:rsidR="00DB5B72">
        <w:rPr>
          <w:b/>
          <w:i w:val="0"/>
          <w:sz w:val="32"/>
          <w:szCs w:val="28"/>
        </w:rPr>
        <w:t>.</w:t>
      </w:r>
    </w:p>
    <w:p w14:paraId="11F2FC80" w14:textId="77777777" w:rsidR="00DB5B72" w:rsidRDefault="00D77605" w:rsidP="00DB5B72">
      <w:pPr>
        <w:pStyle w:val="Zkladntext"/>
        <w:rPr>
          <w:b/>
          <w:i w:val="0"/>
          <w:szCs w:val="28"/>
        </w:rPr>
      </w:pPr>
      <w:r>
        <w:rPr>
          <w:b/>
          <w:i w:val="0"/>
          <w:szCs w:val="28"/>
        </w:rPr>
        <w:pict w14:anchorId="771E9B06">
          <v:rect id="_x0000_i1040" style="width:453.6pt;height:2pt" o:hralign="center" o:hrstd="t" o:hrnoshade="t" o:hr="t" fillcolor="#603" stroked="f"/>
        </w:pict>
      </w:r>
    </w:p>
    <w:p w14:paraId="31CD7625" w14:textId="77777777" w:rsidR="00DB5B72" w:rsidRDefault="00DB5B72" w:rsidP="00DB5B72">
      <w:pPr>
        <w:tabs>
          <w:tab w:val="left" w:pos="7635"/>
        </w:tabs>
        <w:rPr>
          <w:b/>
          <w:bCs/>
          <w:i/>
          <w:sz w:val="28"/>
          <w:szCs w:val="28"/>
        </w:rPr>
      </w:pPr>
    </w:p>
    <w:p w14:paraId="323A3366" w14:textId="77777777" w:rsidR="00DB5B72" w:rsidRDefault="00DB5B72" w:rsidP="00DB5B72">
      <w:pPr>
        <w:pStyle w:val="Zkladntext3"/>
        <w:spacing w:line="240" w:lineRule="auto"/>
        <w:rPr>
          <w:b w:val="0"/>
          <w:bCs/>
          <w:iCs w:val="0"/>
        </w:rPr>
      </w:pPr>
      <w:r w:rsidRPr="00844E91">
        <w:rPr>
          <w:b w:val="0"/>
          <w:bCs/>
          <w:iCs w:val="0"/>
        </w:rPr>
        <w:t>„</w:t>
      </w:r>
      <w:r>
        <w:rPr>
          <w:b w:val="0"/>
          <w:bCs/>
          <w:iCs w:val="0"/>
        </w:rPr>
        <w:t>Víte, kde případně další informace o elektronické evidenci tržeb hledat?</w:t>
      </w:r>
      <w:r w:rsidRPr="00844E91">
        <w:rPr>
          <w:b w:val="0"/>
          <w:bCs/>
          <w:iCs w:val="0"/>
        </w:rPr>
        <w:t>“</w:t>
      </w:r>
    </w:p>
    <w:p w14:paraId="7DD28E3E" w14:textId="77777777" w:rsidR="00DB5B72" w:rsidRDefault="00DB5B72" w:rsidP="00DB5B72">
      <w:pPr>
        <w:pStyle w:val="Zkladntext3"/>
        <w:spacing w:line="240" w:lineRule="auto"/>
        <w:rPr>
          <w:b w:val="0"/>
          <w:bCs/>
          <w:iCs w:val="0"/>
        </w:rPr>
      </w:pPr>
    </w:p>
    <w:p w14:paraId="11A7D796" w14:textId="77777777" w:rsidR="00DB5B72" w:rsidRDefault="00DB5B72" w:rsidP="00DB5B72">
      <w:pPr>
        <w:pStyle w:val="Zkladntext3"/>
        <w:spacing w:line="240" w:lineRule="auto"/>
        <w:rPr>
          <w:b w:val="0"/>
          <w:i w:val="0"/>
          <w:sz w:val="25"/>
          <w:szCs w:val="25"/>
        </w:rPr>
      </w:pPr>
      <w:r w:rsidRPr="002378FC">
        <w:rPr>
          <w:b w:val="0"/>
          <w:i w:val="0"/>
          <w:sz w:val="25"/>
          <w:szCs w:val="25"/>
        </w:rPr>
        <w:t xml:space="preserve">(Počet respondentů: </w:t>
      </w:r>
      <w:r w:rsidR="00720142">
        <w:rPr>
          <w:b w:val="0"/>
          <w:i w:val="0"/>
          <w:sz w:val="25"/>
          <w:szCs w:val="25"/>
        </w:rPr>
        <w:t>931</w:t>
      </w:r>
      <w:r w:rsidRPr="002378FC">
        <w:rPr>
          <w:b w:val="0"/>
          <w:i w:val="0"/>
          <w:sz w:val="25"/>
          <w:szCs w:val="25"/>
        </w:rPr>
        <w:t>)</w:t>
      </w:r>
    </w:p>
    <w:p w14:paraId="6F066118" w14:textId="77777777" w:rsidR="00DB5B72" w:rsidRDefault="00DB5B72" w:rsidP="00DB5B72">
      <w:pPr>
        <w:rPr>
          <w:b/>
          <w:color w:val="FF0000"/>
        </w:rPr>
      </w:pPr>
      <w:r>
        <w:rPr>
          <w:b/>
          <w:noProof/>
          <w:color w:val="FF0000"/>
        </w:rPr>
        <w:drawing>
          <wp:inline distT="0" distB="0" distL="0" distR="0" wp14:anchorId="6C2E377A" wp14:editId="44133EBA">
            <wp:extent cx="5678805" cy="2874010"/>
            <wp:effectExtent l="0" t="0" r="0" b="0"/>
            <wp:docPr id="46" name="objekt 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62C7BA1F" w14:textId="77777777" w:rsidR="00DB5B72" w:rsidRDefault="00DB5B72" w:rsidP="00DB5B72"/>
    <w:p w14:paraId="233C2063" w14:textId="77777777" w:rsidR="00F241EF" w:rsidRDefault="00F241EF" w:rsidP="00DB5B72"/>
    <w:p w14:paraId="54B349BC" w14:textId="77777777" w:rsidR="00F241EF" w:rsidRDefault="00F241EF" w:rsidP="00F241EF">
      <w:pPr>
        <w:numPr>
          <w:ilvl w:val="0"/>
          <w:numId w:val="1"/>
        </w:numPr>
        <w:spacing w:after="120" w:line="312" w:lineRule="auto"/>
        <w:jc w:val="both"/>
      </w:pPr>
      <w:r>
        <w:t>Nejnižší povědomí o tom, kde hledat informace o elektronické evidenci tržeb, je mezi lidmi ve věku 30 až 44 let.</w:t>
      </w:r>
    </w:p>
    <w:p w14:paraId="7D208DFB" w14:textId="77777777" w:rsidR="00F241EF" w:rsidRDefault="00F6224E" w:rsidP="00F241EF">
      <w:pPr>
        <w:numPr>
          <w:ilvl w:val="0"/>
          <w:numId w:val="1"/>
        </w:numPr>
        <w:spacing w:after="120" w:line="312" w:lineRule="auto"/>
        <w:jc w:val="both"/>
      </w:pPr>
      <w:r>
        <w:t>Podle očekávání se podíl těch, kteří vědí, kde hledat informace o elektronických pokladnách, zvyšuje s rostoucí úrovní vzdělání.</w:t>
      </w:r>
      <w:r w:rsidR="00F241EF">
        <w:t xml:space="preserve"> </w:t>
      </w:r>
    </w:p>
    <w:p w14:paraId="64F3CA78" w14:textId="77777777" w:rsidR="00F241EF" w:rsidRDefault="00F241EF" w:rsidP="00F241EF"/>
    <w:p w14:paraId="77AB5A32" w14:textId="77777777" w:rsidR="00F241EF" w:rsidRDefault="00F241EF" w:rsidP="00DB5B72"/>
    <w:p w14:paraId="03B032FE" w14:textId="77777777" w:rsidR="00C70754" w:rsidRDefault="00C70754">
      <w:r>
        <w:br w:type="page"/>
      </w:r>
    </w:p>
    <w:p w14:paraId="19A0F372" w14:textId="77777777" w:rsidR="00720142" w:rsidRDefault="00720142" w:rsidP="00720142">
      <w:pPr>
        <w:pStyle w:val="Zkladntext3"/>
        <w:spacing w:after="120" w:line="240" w:lineRule="auto"/>
        <w:rPr>
          <w:sz w:val="25"/>
          <w:szCs w:val="25"/>
        </w:rPr>
      </w:pPr>
      <w:r w:rsidRPr="009D05B0">
        <w:rPr>
          <w:noProof/>
          <w:lang w:val="cs-CZ" w:eastAsia="cs-CZ"/>
        </w:rPr>
        <w:drawing>
          <wp:inline distT="0" distB="0" distL="0" distR="0" wp14:anchorId="315A45B4" wp14:editId="6F30E5F3">
            <wp:extent cx="5770709" cy="3918857"/>
            <wp:effectExtent l="0" t="0" r="0" b="0"/>
            <wp:docPr id="39"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14:paraId="4EA82698" w14:textId="77777777" w:rsidR="00720142" w:rsidRDefault="00720142" w:rsidP="00720142">
      <w:pPr>
        <w:pStyle w:val="Zkladntext3"/>
        <w:spacing w:after="120" w:line="240" w:lineRule="auto"/>
        <w:rPr>
          <w:b w:val="0"/>
          <w:i w:val="0"/>
          <w:sz w:val="20"/>
          <w:szCs w:val="20"/>
        </w:rPr>
      </w:pPr>
      <w:r>
        <w:rPr>
          <w:b w:val="0"/>
          <w:i w:val="0"/>
          <w:sz w:val="20"/>
          <w:szCs w:val="20"/>
        </w:rPr>
        <w:t>Pramen: EET II., STEM, květen 2016, 1010 respondentů (931 respondentů)</w:t>
      </w:r>
    </w:p>
    <w:p w14:paraId="23DD6851" w14:textId="77777777" w:rsidR="00720142" w:rsidRDefault="00720142" w:rsidP="00720142">
      <w:pPr>
        <w:spacing w:line="360" w:lineRule="auto"/>
        <w:jc w:val="both"/>
      </w:pPr>
    </w:p>
    <w:p w14:paraId="7FF7AFC2" w14:textId="77777777" w:rsidR="00C70754" w:rsidRDefault="00C70754" w:rsidP="00C70754">
      <w:pPr>
        <w:pStyle w:val="Zkladntext3"/>
        <w:spacing w:after="120" w:line="240" w:lineRule="auto"/>
        <w:rPr>
          <w:sz w:val="25"/>
          <w:szCs w:val="25"/>
        </w:rPr>
      </w:pPr>
      <w:r w:rsidRPr="009D05B0">
        <w:rPr>
          <w:noProof/>
          <w:lang w:val="cs-CZ" w:eastAsia="cs-CZ"/>
        </w:rPr>
        <w:drawing>
          <wp:inline distT="0" distB="0" distL="0" distR="0" wp14:anchorId="41F29A22" wp14:editId="130FD1C3">
            <wp:extent cx="5770709" cy="3880437"/>
            <wp:effectExtent l="0" t="0" r="0" b="0"/>
            <wp:docPr id="40"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5C1E987D" w14:textId="77777777" w:rsidR="00C70754" w:rsidRDefault="00C70754" w:rsidP="00C70754">
      <w:pPr>
        <w:pStyle w:val="Zkladntext3"/>
        <w:spacing w:after="120" w:line="240" w:lineRule="auto"/>
        <w:rPr>
          <w:b w:val="0"/>
          <w:i w:val="0"/>
          <w:sz w:val="20"/>
          <w:szCs w:val="20"/>
        </w:rPr>
      </w:pPr>
      <w:r>
        <w:rPr>
          <w:b w:val="0"/>
          <w:i w:val="0"/>
          <w:sz w:val="20"/>
          <w:szCs w:val="20"/>
        </w:rPr>
        <w:t>Pramen: EET II., STEM, květen 2016, 1010 respondentů (931 respondentů)</w:t>
      </w:r>
    </w:p>
    <w:p w14:paraId="1CCCECB9" w14:textId="77777777" w:rsidR="00DB5B72" w:rsidRDefault="00DB5B72" w:rsidP="00DB5B72">
      <w:r>
        <w:br w:type="page"/>
      </w:r>
    </w:p>
    <w:p w14:paraId="7CA22B9A" w14:textId="77777777" w:rsidR="00DB5B72" w:rsidRDefault="00F6224E" w:rsidP="008E3C82">
      <w:pPr>
        <w:pStyle w:val="Zkladntext"/>
        <w:numPr>
          <w:ilvl w:val="0"/>
          <w:numId w:val="4"/>
        </w:numPr>
        <w:shd w:val="clear" w:color="auto" w:fill="FFFF99"/>
        <w:jc w:val="center"/>
        <w:rPr>
          <w:b/>
          <w:i w:val="0"/>
          <w:sz w:val="32"/>
          <w:szCs w:val="28"/>
        </w:rPr>
      </w:pPr>
      <w:r>
        <w:rPr>
          <w:b/>
          <w:i w:val="0"/>
          <w:sz w:val="32"/>
          <w:szCs w:val="28"/>
        </w:rPr>
        <w:t xml:space="preserve">Dvoutřetinová </w:t>
      </w:r>
      <w:r w:rsidR="00DB5B72">
        <w:rPr>
          <w:b/>
          <w:i w:val="0"/>
          <w:sz w:val="32"/>
          <w:szCs w:val="28"/>
        </w:rPr>
        <w:t>většin</w:t>
      </w:r>
      <w:r>
        <w:rPr>
          <w:b/>
          <w:i w:val="0"/>
          <w:sz w:val="32"/>
          <w:szCs w:val="28"/>
        </w:rPr>
        <w:t xml:space="preserve">a </w:t>
      </w:r>
      <w:r w:rsidR="00DB5B72">
        <w:rPr>
          <w:b/>
          <w:i w:val="0"/>
          <w:sz w:val="32"/>
          <w:szCs w:val="28"/>
        </w:rPr>
        <w:t xml:space="preserve">dotázaných občanů </w:t>
      </w:r>
      <w:r>
        <w:rPr>
          <w:b/>
          <w:i w:val="0"/>
          <w:sz w:val="32"/>
          <w:szCs w:val="28"/>
        </w:rPr>
        <w:t>vyžaduje již dnes vždy nebo většinou při placení běžných nákupů účtenku</w:t>
      </w:r>
      <w:r w:rsidR="00DB5B72">
        <w:rPr>
          <w:b/>
          <w:i w:val="0"/>
          <w:sz w:val="32"/>
          <w:szCs w:val="28"/>
        </w:rPr>
        <w:t>.</w:t>
      </w:r>
    </w:p>
    <w:p w14:paraId="746FAE33" w14:textId="77777777" w:rsidR="00DB5B72" w:rsidRDefault="00D77605" w:rsidP="00DB5B72">
      <w:pPr>
        <w:pStyle w:val="Zkladntext"/>
        <w:rPr>
          <w:b/>
          <w:i w:val="0"/>
          <w:szCs w:val="28"/>
        </w:rPr>
      </w:pPr>
      <w:r>
        <w:rPr>
          <w:b/>
          <w:i w:val="0"/>
          <w:szCs w:val="28"/>
        </w:rPr>
        <w:pict w14:anchorId="60EEDD49">
          <v:rect id="_x0000_i1041" style="width:453.6pt;height:2pt" o:hralign="center" o:hrstd="t" o:hrnoshade="t" o:hr="t" fillcolor="#603" stroked="f"/>
        </w:pict>
      </w:r>
    </w:p>
    <w:p w14:paraId="7B7AD315" w14:textId="77777777" w:rsidR="00DB5B72" w:rsidRDefault="00DB5B72" w:rsidP="00DB5B72">
      <w:pPr>
        <w:tabs>
          <w:tab w:val="left" w:pos="7635"/>
        </w:tabs>
        <w:rPr>
          <w:b/>
          <w:bCs/>
          <w:i/>
          <w:sz w:val="28"/>
          <w:szCs w:val="28"/>
        </w:rPr>
      </w:pPr>
    </w:p>
    <w:p w14:paraId="3200D6DF" w14:textId="77777777" w:rsidR="00DB5B72" w:rsidRDefault="00DB5B72" w:rsidP="00DB5B72">
      <w:pPr>
        <w:tabs>
          <w:tab w:val="left" w:pos="7635"/>
        </w:tabs>
        <w:rPr>
          <w:b/>
          <w:bCs/>
          <w:i/>
          <w:sz w:val="28"/>
          <w:szCs w:val="28"/>
        </w:rPr>
      </w:pPr>
    </w:p>
    <w:p w14:paraId="654007CB" w14:textId="77777777" w:rsidR="00DB5B72" w:rsidRPr="009A04ED" w:rsidRDefault="00DB5B72" w:rsidP="00DB5B72">
      <w:pPr>
        <w:pStyle w:val="Zkladntext3"/>
        <w:spacing w:after="120" w:line="240" w:lineRule="auto"/>
        <w:rPr>
          <w:b w:val="0"/>
          <w:bCs/>
          <w:iCs w:val="0"/>
        </w:rPr>
      </w:pPr>
      <w:r w:rsidRPr="009A04ED">
        <w:rPr>
          <w:b w:val="0"/>
        </w:rPr>
        <w:t>„</w:t>
      </w:r>
      <w:r w:rsidR="008E3C82">
        <w:rPr>
          <w:b w:val="0"/>
        </w:rPr>
        <w:t xml:space="preserve">Vyžadujete Vy osobně v současnosti při placení běžných nákupů </w:t>
      </w:r>
      <w:r w:rsidR="00331808">
        <w:rPr>
          <w:b w:val="0"/>
        </w:rPr>
        <w:br/>
      </w:r>
      <w:r w:rsidR="008E3C82">
        <w:rPr>
          <w:b w:val="0"/>
        </w:rPr>
        <w:t>např. v potravinách, trafice či restauraci účtenku</w:t>
      </w:r>
      <w:r w:rsidRPr="009A04ED">
        <w:rPr>
          <w:b w:val="0"/>
        </w:rPr>
        <w:t>?</w:t>
      </w:r>
      <w:r w:rsidRPr="009A04ED">
        <w:rPr>
          <w:b w:val="0"/>
          <w:bCs/>
          <w:iCs w:val="0"/>
        </w:rPr>
        <w:t>“</w:t>
      </w:r>
    </w:p>
    <w:p w14:paraId="6477EE54" w14:textId="77777777" w:rsidR="00DB5B72" w:rsidRPr="009A04ED" w:rsidRDefault="00DB5B72" w:rsidP="00DB5B72">
      <w:pPr>
        <w:pStyle w:val="Zkladntext3"/>
        <w:spacing w:line="240" w:lineRule="auto"/>
        <w:rPr>
          <w:b w:val="0"/>
        </w:rPr>
      </w:pPr>
    </w:p>
    <w:p w14:paraId="67FF08D2" w14:textId="77777777" w:rsidR="00DB5B72" w:rsidRDefault="00DB5B72" w:rsidP="00DB5B72">
      <w:pPr>
        <w:rPr>
          <w:b/>
          <w:color w:val="FF0000"/>
        </w:rPr>
      </w:pPr>
      <w:r>
        <w:rPr>
          <w:b/>
          <w:noProof/>
          <w:color w:val="FF0000"/>
        </w:rPr>
        <w:drawing>
          <wp:inline distT="0" distB="0" distL="0" distR="0" wp14:anchorId="46AC233E" wp14:editId="4D3202C3">
            <wp:extent cx="5678805" cy="2704465"/>
            <wp:effectExtent l="0" t="0" r="0" b="0"/>
            <wp:docPr id="47" name="Graf 4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3E02473E" w14:textId="77777777" w:rsidR="00DB5B72" w:rsidRDefault="00DB5B72" w:rsidP="004C13DF"/>
    <w:p w14:paraId="7873DF06" w14:textId="77777777" w:rsidR="008A64AC" w:rsidRDefault="008A64AC" w:rsidP="008A64AC"/>
    <w:p w14:paraId="103FF0A7" w14:textId="77777777" w:rsidR="008A64AC" w:rsidRDefault="008A64AC" w:rsidP="008A64AC"/>
    <w:p w14:paraId="7FFFF9BA" w14:textId="77777777" w:rsidR="008A64AC" w:rsidRDefault="00F05BA0" w:rsidP="008A64AC">
      <w:pPr>
        <w:numPr>
          <w:ilvl w:val="0"/>
          <w:numId w:val="1"/>
        </w:numPr>
        <w:spacing w:after="120" w:line="312" w:lineRule="auto"/>
        <w:jc w:val="both"/>
      </w:pPr>
      <w:r>
        <w:t>Nejnižší podíl těch, kteří vždy nebo většinou vyžadují při placení účtenku, je mezi lidmi ve věku</w:t>
      </w:r>
      <w:r w:rsidR="008A64AC">
        <w:t xml:space="preserve"> 30 až 44 let.</w:t>
      </w:r>
      <w:r>
        <w:t xml:space="preserve"> Naopak nejčastěji účtenku požadují lidé starší 60 let.</w:t>
      </w:r>
    </w:p>
    <w:p w14:paraId="1A1C4437" w14:textId="77777777" w:rsidR="00F05BA0" w:rsidRDefault="00F05BA0" w:rsidP="008A64AC">
      <w:pPr>
        <w:numPr>
          <w:ilvl w:val="0"/>
          <w:numId w:val="1"/>
        </w:numPr>
        <w:spacing w:after="120" w:line="312" w:lineRule="auto"/>
        <w:jc w:val="both"/>
      </w:pPr>
      <w:r>
        <w:t xml:space="preserve">Účtenku vyžadují častěji ženy než muži. </w:t>
      </w:r>
    </w:p>
    <w:p w14:paraId="4971BE55" w14:textId="77777777" w:rsidR="008A64AC" w:rsidRDefault="00F05BA0" w:rsidP="008A64AC">
      <w:pPr>
        <w:numPr>
          <w:ilvl w:val="0"/>
          <w:numId w:val="1"/>
        </w:numPr>
        <w:spacing w:after="120" w:line="312" w:lineRule="auto"/>
        <w:jc w:val="both"/>
      </w:pPr>
      <w:r>
        <w:t>Respondenti se základním vzděláním si podle vlastního vyjádření účtenku berou vždy nebo většinou častěji než lidé z vyšších vzdělanostních kategorií</w:t>
      </w:r>
      <w:r w:rsidR="008A64AC">
        <w:t xml:space="preserve">. </w:t>
      </w:r>
    </w:p>
    <w:p w14:paraId="2B9FA03E" w14:textId="77777777" w:rsidR="00D207A2" w:rsidRDefault="00D207A2" w:rsidP="008A64AC">
      <w:pPr>
        <w:numPr>
          <w:ilvl w:val="0"/>
          <w:numId w:val="1"/>
        </w:numPr>
        <w:spacing w:after="120" w:line="312" w:lineRule="auto"/>
        <w:jc w:val="both"/>
      </w:pPr>
      <w:r>
        <w:t>Lidé se zkušenostmi s hotovostními tržbami z podnikání požadují účtenku za běžné nákupy poněkud méně často než populace jako celek.</w:t>
      </w:r>
    </w:p>
    <w:p w14:paraId="25D32A70" w14:textId="77777777" w:rsidR="00113930" w:rsidRDefault="00113930" w:rsidP="008A64AC">
      <w:pPr>
        <w:numPr>
          <w:ilvl w:val="0"/>
          <w:numId w:val="1"/>
        </w:numPr>
        <w:spacing w:after="120" w:line="312" w:lineRule="auto"/>
        <w:jc w:val="both"/>
      </w:pPr>
      <w:r>
        <w:t>Zajímavý je vztah mezi současným přístupem k vyúčtování běžných nákupů a názorem na elektronickou evidenci tržeb. Lidé, kteří již dnes vyžadují účtenky, považují jasnou většinou EET za pozitivní opatření. Naopak mezi lidmi, kteří si v současném systému účtenky neberou, převažuje názor, že zavedení elektronických pokladen bude negativním opatřením.</w:t>
      </w:r>
    </w:p>
    <w:p w14:paraId="310FE234" w14:textId="77777777" w:rsidR="008A64AC" w:rsidRDefault="008A64AC" w:rsidP="008A64AC"/>
    <w:p w14:paraId="4965C4B9" w14:textId="77777777" w:rsidR="00F6224E" w:rsidRDefault="00F6224E" w:rsidP="004C13DF"/>
    <w:p w14:paraId="6038D342" w14:textId="77777777" w:rsidR="00F6224E" w:rsidRDefault="00F6224E" w:rsidP="00F6224E">
      <w:pPr>
        <w:pStyle w:val="Zkladntext3"/>
        <w:spacing w:after="120" w:line="240" w:lineRule="auto"/>
        <w:rPr>
          <w:sz w:val="25"/>
          <w:szCs w:val="25"/>
        </w:rPr>
      </w:pPr>
      <w:r w:rsidRPr="009D05B0">
        <w:rPr>
          <w:noProof/>
          <w:lang w:val="cs-CZ" w:eastAsia="cs-CZ"/>
        </w:rPr>
        <w:drawing>
          <wp:inline distT="0" distB="0" distL="0" distR="0" wp14:anchorId="6D2E5CED" wp14:editId="7A439495">
            <wp:extent cx="5770709" cy="3995697"/>
            <wp:effectExtent l="0" t="0" r="0" b="0"/>
            <wp:docPr id="53"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7F0D73F3" w14:textId="77777777" w:rsidR="00F6224E" w:rsidRDefault="00F6224E" w:rsidP="00F6224E">
      <w:pPr>
        <w:pStyle w:val="Zkladntext3"/>
        <w:spacing w:after="120" w:line="240" w:lineRule="auto"/>
        <w:rPr>
          <w:b w:val="0"/>
          <w:i w:val="0"/>
          <w:sz w:val="20"/>
          <w:szCs w:val="20"/>
        </w:rPr>
      </w:pPr>
      <w:r>
        <w:rPr>
          <w:b w:val="0"/>
          <w:i w:val="0"/>
          <w:sz w:val="20"/>
          <w:szCs w:val="20"/>
        </w:rPr>
        <w:t>Pramen: EET II., STEM, květen 2016, 1010 respondentů</w:t>
      </w:r>
    </w:p>
    <w:p w14:paraId="42261D79" w14:textId="77777777" w:rsidR="00F6224E" w:rsidRDefault="00F6224E" w:rsidP="00F6224E">
      <w:pPr>
        <w:spacing w:line="360" w:lineRule="auto"/>
        <w:jc w:val="both"/>
      </w:pPr>
    </w:p>
    <w:p w14:paraId="4B458FE3" w14:textId="77777777" w:rsidR="005A7C79" w:rsidRDefault="005A7C79" w:rsidP="00F6224E">
      <w:pPr>
        <w:spacing w:line="360" w:lineRule="auto"/>
        <w:jc w:val="both"/>
      </w:pPr>
      <w:r w:rsidRPr="005A7C79">
        <w:rPr>
          <w:noProof/>
        </w:rPr>
        <w:drawing>
          <wp:inline distT="0" distB="0" distL="0" distR="0" wp14:anchorId="454C7B09" wp14:editId="3B4E5AE1">
            <wp:extent cx="5760720" cy="3988781"/>
            <wp:effectExtent l="0" t="0" r="0" b="0"/>
            <wp:docPr id="55"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14:paraId="46ADC4A4" w14:textId="77777777" w:rsidR="00F6224E" w:rsidRDefault="00F6224E" w:rsidP="00F6224E">
      <w:pPr>
        <w:pStyle w:val="Zkladntext3"/>
        <w:spacing w:after="120" w:line="240" w:lineRule="auto"/>
        <w:rPr>
          <w:b w:val="0"/>
          <w:i w:val="0"/>
          <w:sz w:val="20"/>
          <w:szCs w:val="20"/>
        </w:rPr>
      </w:pPr>
      <w:r>
        <w:rPr>
          <w:b w:val="0"/>
          <w:i w:val="0"/>
          <w:sz w:val="20"/>
          <w:szCs w:val="20"/>
        </w:rPr>
        <w:t>Pramen: EET II., STEM, květen 2016, 1010 respondentů</w:t>
      </w:r>
    </w:p>
    <w:p w14:paraId="135DA4DE" w14:textId="77777777" w:rsidR="00762856" w:rsidRDefault="00762856" w:rsidP="00762856">
      <w:pPr>
        <w:pStyle w:val="Zkladntext3"/>
        <w:spacing w:after="120" w:line="240" w:lineRule="auto"/>
        <w:rPr>
          <w:sz w:val="25"/>
          <w:szCs w:val="25"/>
        </w:rPr>
      </w:pPr>
      <w:r w:rsidRPr="009D05B0">
        <w:rPr>
          <w:noProof/>
          <w:lang w:val="cs-CZ" w:eastAsia="cs-CZ"/>
        </w:rPr>
        <w:drawing>
          <wp:inline distT="0" distB="0" distL="0" distR="0" wp14:anchorId="2E56CCFA" wp14:editId="4A5F821D">
            <wp:extent cx="5770709" cy="3995697"/>
            <wp:effectExtent l="0" t="0" r="0" b="0"/>
            <wp:docPr id="56"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14:paraId="0A8A9199" w14:textId="77777777" w:rsidR="00762856" w:rsidRDefault="00762856" w:rsidP="00762856">
      <w:pPr>
        <w:pStyle w:val="Zkladntext3"/>
        <w:spacing w:after="120" w:line="240" w:lineRule="auto"/>
        <w:rPr>
          <w:b w:val="0"/>
          <w:i w:val="0"/>
          <w:sz w:val="20"/>
          <w:szCs w:val="20"/>
        </w:rPr>
      </w:pPr>
      <w:r>
        <w:rPr>
          <w:b w:val="0"/>
          <w:i w:val="0"/>
          <w:sz w:val="20"/>
          <w:szCs w:val="20"/>
        </w:rPr>
        <w:t>Pramen: EET II., STEM, květen 2016, 1010 respondentů</w:t>
      </w:r>
    </w:p>
    <w:p w14:paraId="01004FDC" w14:textId="77777777" w:rsidR="00F05BA0" w:rsidRDefault="00F05BA0" w:rsidP="00F05BA0"/>
    <w:p w14:paraId="04046405" w14:textId="77777777" w:rsidR="00F05BA0" w:rsidRDefault="00F05BA0" w:rsidP="00F05BA0">
      <w:pPr>
        <w:pStyle w:val="Zkladntext3"/>
        <w:spacing w:after="120" w:line="240" w:lineRule="auto"/>
        <w:rPr>
          <w:sz w:val="25"/>
          <w:szCs w:val="25"/>
        </w:rPr>
      </w:pPr>
      <w:r>
        <w:rPr>
          <w:noProof/>
          <w:lang w:val="cs-CZ" w:eastAsia="cs-CZ"/>
        </w:rPr>
        <w:drawing>
          <wp:inline distT="0" distB="0" distL="0" distR="0" wp14:anchorId="1C82DE6D" wp14:editId="14F749CA">
            <wp:extent cx="5770709" cy="3488551"/>
            <wp:effectExtent l="0" t="0" r="0" b="0"/>
            <wp:docPr id="4"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14:paraId="377DD707" w14:textId="77777777" w:rsidR="00F05BA0" w:rsidRDefault="00F05BA0" w:rsidP="00F05BA0">
      <w:pPr>
        <w:pStyle w:val="Zkladntext3"/>
        <w:spacing w:after="120" w:line="240" w:lineRule="auto"/>
        <w:rPr>
          <w:b w:val="0"/>
          <w:i w:val="0"/>
          <w:sz w:val="20"/>
          <w:szCs w:val="20"/>
        </w:rPr>
      </w:pPr>
      <w:r>
        <w:rPr>
          <w:b w:val="0"/>
          <w:i w:val="0"/>
          <w:sz w:val="20"/>
          <w:szCs w:val="20"/>
        </w:rPr>
        <w:t>Pramen: EET II., STEM, květen 2016, 1010 respondentů</w:t>
      </w:r>
    </w:p>
    <w:p w14:paraId="71AF0A41" w14:textId="77777777" w:rsidR="00762856" w:rsidRDefault="00762856" w:rsidP="00F6224E">
      <w:pPr>
        <w:pStyle w:val="Zkladntext3"/>
        <w:spacing w:after="120" w:line="240" w:lineRule="auto"/>
        <w:rPr>
          <w:b w:val="0"/>
          <w:i w:val="0"/>
          <w:sz w:val="20"/>
          <w:szCs w:val="20"/>
        </w:rPr>
      </w:pPr>
    </w:p>
    <w:p w14:paraId="632950FA" w14:textId="77777777" w:rsidR="00113930" w:rsidRDefault="00113930" w:rsidP="00113930"/>
    <w:p w14:paraId="43148047" w14:textId="77777777" w:rsidR="00113930" w:rsidRDefault="00113930" w:rsidP="00113930">
      <w:pPr>
        <w:pStyle w:val="Zkladntext3"/>
        <w:spacing w:after="120" w:line="240" w:lineRule="auto"/>
        <w:rPr>
          <w:sz w:val="25"/>
          <w:szCs w:val="25"/>
        </w:rPr>
      </w:pPr>
      <w:r>
        <w:rPr>
          <w:noProof/>
          <w:lang w:val="cs-CZ" w:eastAsia="cs-CZ"/>
        </w:rPr>
        <w:drawing>
          <wp:inline distT="0" distB="0" distL="0" distR="0" wp14:anchorId="68BD44DF" wp14:editId="40080AE9">
            <wp:extent cx="5770709" cy="3964962"/>
            <wp:effectExtent l="0" t="0" r="0" b="0"/>
            <wp:docPr id="61"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14:paraId="048A0E7F" w14:textId="77777777" w:rsidR="00113930" w:rsidRDefault="00113930" w:rsidP="00113930">
      <w:pPr>
        <w:pStyle w:val="Zkladntext3"/>
        <w:spacing w:after="120" w:line="240" w:lineRule="auto"/>
        <w:rPr>
          <w:b w:val="0"/>
          <w:i w:val="0"/>
          <w:sz w:val="20"/>
          <w:szCs w:val="20"/>
        </w:rPr>
      </w:pPr>
      <w:r>
        <w:rPr>
          <w:b w:val="0"/>
          <w:i w:val="0"/>
          <w:sz w:val="20"/>
          <w:szCs w:val="20"/>
        </w:rPr>
        <w:t>Pramen: EET II., STEM, květen 2016, 1010 respondentů (931 respondentů)</w:t>
      </w:r>
    </w:p>
    <w:p w14:paraId="3F5AC46D" w14:textId="77777777" w:rsidR="00113930" w:rsidRDefault="00113930" w:rsidP="00F6224E">
      <w:pPr>
        <w:pStyle w:val="Zkladntext3"/>
        <w:spacing w:after="120" w:line="240" w:lineRule="auto"/>
        <w:rPr>
          <w:b w:val="0"/>
          <w:i w:val="0"/>
          <w:sz w:val="20"/>
          <w:szCs w:val="20"/>
        </w:rPr>
      </w:pPr>
    </w:p>
    <w:p w14:paraId="182E5C79" w14:textId="77777777" w:rsidR="00DB5B72" w:rsidRDefault="00DB5B72">
      <w:r>
        <w:br w:type="page"/>
      </w:r>
    </w:p>
    <w:p w14:paraId="459E3D63" w14:textId="77777777" w:rsidR="00331808" w:rsidRDefault="0001190B" w:rsidP="00331808">
      <w:pPr>
        <w:pStyle w:val="Zkladntext"/>
        <w:numPr>
          <w:ilvl w:val="0"/>
          <w:numId w:val="4"/>
        </w:numPr>
        <w:shd w:val="clear" w:color="auto" w:fill="FFFF99"/>
        <w:jc w:val="center"/>
        <w:rPr>
          <w:b/>
          <w:i w:val="0"/>
          <w:sz w:val="32"/>
          <w:szCs w:val="28"/>
        </w:rPr>
      </w:pPr>
      <w:r>
        <w:rPr>
          <w:b/>
          <w:i w:val="0"/>
          <w:sz w:val="32"/>
          <w:szCs w:val="28"/>
        </w:rPr>
        <w:t xml:space="preserve">Téměř tříčtvrtinová </w:t>
      </w:r>
      <w:r w:rsidR="00331808">
        <w:rPr>
          <w:b/>
          <w:i w:val="0"/>
          <w:sz w:val="32"/>
          <w:szCs w:val="28"/>
        </w:rPr>
        <w:t>většin</w:t>
      </w:r>
      <w:r>
        <w:rPr>
          <w:b/>
          <w:i w:val="0"/>
          <w:sz w:val="32"/>
          <w:szCs w:val="28"/>
        </w:rPr>
        <w:t>a</w:t>
      </w:r>
      <w:r w:rsidR="00331808">
        <w:rPr>
          <w:b/>
          <w:i w:val="0"/>
          <w:sz w:val="32"/>
          <w:szCs w:val="28"/>
        </w:rPr>
        <w:t xml:space="preserve"> dotázaných občanů </w:t>
      </w:r>
      <w:r>
        <w:rPr>
          <w:b/>
          <w:i w:val="0"/>
          <w:sz w:val="32"/>
          <w:szCs w:val="28"/>
        </w:rPr>
        <w:t xml:space="preserve">uvádí, že bude po zavedení </w:t>
      </w:r>
      <w:r w:rsidR="00331808">
        <w:rPr>
          <w:b/>
          <w:i w:val="0"/>
          <w:sz w:val="32"/>
          <w:szCs w:val="28"/>
        </w:rPr>
        <w:t xml:space="preserve">elektronické evidence tržeb </w:t>
      </w:r>
      <w:r>
        <w:rPr>
          <w:b/>
          <w:i w:val="0"/>
          <w:sz w:val="32"/>
          <w:szCs w:val="28"/>
        </w:rPr>
        <w:t xml:space="preserve">požadovat při placení </w:t>
      </w:r>
      <w:r w:rsidR="00F05BA0">
        <w:rPr>
          <w:b/>
          <w:i w:val="0"/>
          <w:sz w:val="32"/>
          <w:szCs w:val="28"/>
        </w:rPr>
        <w:t xml:space="preserve">běžných nákupů </w:t>
      </w:r>
      <w:r>
        <w:rPr>
          <w:b/>
          <w:i w:val="0"/>
          <w:sz w:val="32"/>
          <w:szCs w:val="28"/>
        </w:rPr>
        <w:t>účtenku</w:t>
      </w:r>
      <w:r w:rsidR="00331808">
        <w:rPr>
          <w:b/>
          <w:i w:val="0"/>
          <w:sz w:val="32"/>
          <w:szCs w:val="28"/>
        </w:rPr>
        <w:t>.</w:t>
      </w:r>
    </w:p>
    <w:p w14:paraId="62A5D7FA" w14:textId="77777777" w:rsidR="00331808" w:rsidRDefault="00D77605" w:rsidP="00331808">
      <w:pPr>
        <w:pStyle w:val="Zkladntext"/>
        <w:rPr>
          <w:b/>
          <w:i w:val="0"/>
          <w:szCs w:val="28"/>
        </w:rPr>
      </w:pPr>
      <w:r>
        <w:rPr>
          <w:b/>
          <w:i w:val="0"/>
          <w:szCs w:val="28"/>
        </w:rPr>
        <w:pict w14:anchorId="0F9755B4">
          <v:rect id="_x0000_i1042" style="width:453.6pt;height:2pt" o:hralign="center" o:hrstd="t" o:hrnoshade="t" o:hr="t" fillcolor="#603" stroked="f"/>
        </w:pict>
      </w:r>
    </w:p>
    <w:p w14:paraId="0F5B89EF" w14:textId="77777777" w:rsidR="00331808" w:rsidRDefault="00331808" w:rsidP="00331808">
      <w:pPr>
        <w:tabs>
          <w:tab w:val="left" w:pos="7635"/>
        </w:tabs>
        <w:rPr>
          <w:b/>
          <w:bCs/>
          <w:i/>
          <w:sz w:val="28"/>
          <w:szCs w:val="28"/>
        </w:rPr>
      </w:pPr>
    </w:p>
    <w:p w14:paraId="45C74FD2" w14:textId="77777777" w:rsidR="00331808" w:rsidRDefault="00331808" w:rsidP="00331808">
      <w:pPr>
        <w:tabs>
          <w:tab w:val="left" w:pos="7635"/>
        </w:tabs>
        <w:rPr>
          <w:b/>
          <w:bCs/>
          <w:i/>
          <w:sz w:val="28"/>
          <w:szCs w:val="28"/>
        </w:rPr>
      </w:pPr>
    </w:p>
    <w:p w14:paraId="0A4DF566" w14:textId="77777777" w:rsidR="00331808" w:rsidRPr="009A04ED" w:rsidRDefault="00331808" w:rsidP="00331808">
      <w:pPr>
        <w:pStyle w:val="Zkladntext3"/>
        <w:spacing w:after="120" w:line="240" w:lineRule="auto"/>
        <w:rPr>
          <w:b w:val="0"/>
          <w:bCs/>
          <w:iCs w:val="0"/>
        </w:rPr>
      </w:pPr>
      <w:r w:rsidRPr="009A04ED">
        <w:rPr>
          <w:b w:val="0"/>
        </w:rPr>
        <w:t>„</w:t>
      </w:r>
      <w:r>
        <w:rPr>
          <w:b w:val="0"/>
        </w:rPr>
        <w:t xml:space="preserve">A budete Vy osobně požadovat při placení běžných nákupů </w:t>
      </w:r>
      <w:r>
        <w:rPr>
          <w:b w:val="0"/>
        </w:rPr>
        <w:br/>
        <w:t xml:space="preserve">např. v potravinách, trafice či restauraci účtenku po zavedení </w:t>
      </w:r>
      <w:r>
        <w:rPr>
          <w:b w:val="0"/>
        </w:rPr>
        <w:br/>
        <w:t>elektronické evidence tržeb</w:t>
      </w:r>
      <w:r w:rsidRPr="009A04ED">
        <w:rPr>
          <w:b w:val="0"/>
        </w:rPr>
        <w:t>?</w:t>
      </w:r>
      <w:r w:rsidRPr="009A04ED">
        <w:rPr>
          <w:b w:val="0"/>
          <w:bCs/>
          <w:iCs w:val="0"/>
        </w:rPr>
        <w:t>“</w:t>
      </w:r>
    </w:p>
    <w:p w14:paraId="6BCBEFD1" w14:textId="77777777" w:rsidR="00331808" w:rsidRPr="009A04ED" w:rsidRDefault="00331808" w:rsidP="00331808">
      <w:pPr>
        <w:pStyle w:val="Zkladntext3"/>
        <w:spacing w:line="240" w:lineRule="auto"/>
        <w:rPr>
          <w:b w:val="0"/>
        </w:rPr>
      </w:pPr>
    </w:p>
    <w:p w14:paraId="09BC13C0" w14:textId="77777777" w:rsidR="00331808" w:rsidRDefault="00331808" w:rsidP="00331808">
      <w:pPr>
        <w:rPr>
          <w:b/>
          <w:color w:val="FF0000"/>
        </w:rPr>
      </w:pPr>
      <w:r>
        <w:rPr>
          <w:b/>
          <w:noProof/>
          <w:color w:val="FF0000"/>
        </w:rPr>
        <w:drawing>
          <wp:inline distT="0" distB="0" distL="0" distR="0" wp14:anchorId="3BBF91B0" wp14:editId="3FD77E78">
            <wp:extent cx="5678805" cy="2704465"/>
            <wp:effectExtent l="0" t="0" r="0" b="0"/>
            <wp:docPr id="48" name="Graf 4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14:paraId="4E927A7B" w14:textId="77777777" w:rsidR="00EE2ABC" w:rsidRDefault="00EE2ABC" w:rsidP="00EE2ABC"/>
    <w:p w14:paraId="4AC8FA05" w14:textId="77777777" w:rsidR="00F05BA0" w:rsidRDefault="00F05BA0" w:rsidP="004C13DF"/>
    <w:p w14:paraId="1B2C7819" w14:textId="77777777" w:rsidR="00F05BA0" w:rsidRDefault="00F05BA0" w:rsidP="004C13DF"/>
    <w:p w14:paraId="1408083D" w14:textId="77777777" w:rsidR="00F05BA0" w:rsidRDefault="00137668" w:rsidP="00F05BA0">
      <w:pPr>
        <w:numPr>
          <w:ilvl w:val="0"/>
          <w:numId w:val="1"/>
        </w:numPr>
        <w:spacing w:after="120" w:line="312" w:lineRule="auto"/>
        <w:jc w:val="both"/>
      </w:pPr>
      <w:r>
        <w:t>V době, kdy bude fungovat elektronická evidence tržeb, budou podle vlastního vyjádření účtenku nejčastěji požadovat lidé starší 60 let, naopak méně často lidé mladší 45 let</w:t>
      </w:r>
      <w:r w:rsidR="00F05BA0">
        <w:t>.</w:t>
      </w:r>
    </w:p>
    <w:p w14:paraId="1330C5A2" w14:textId="77777777" w:rsidR="00F05BA0" w:rsidRDefault="00F05BA0" w:rsidP="00F05BA0">
      <w:pPr>
        <w:numPr>
          <w:ilvl w:val="0"/>
          <w:numId w:val="1"/>
        </w:numPr>
        <w:spacing w:after="120" w:line="312" w:lineRule="auto"/>
        <w:jc w:val="both"/>
      </w:pPr>
      <w:r>
        <w:t>Účtenku budou po zavedení elektronick</w:t>
      </w:r>
      <w:r w:rsidR="00137668">
        <w:t>ých pokladen</w:t>
      </w:r>
      <w:r>
        <w:t xml:space="preserve"> opět častěji požadovat ženy než muži. </w:t>
      </w:r>
    </w:p>
    <w:p w14:paraId="511A978A" w14:textId="77777777" w:rsidR="00137668" w:rsidRDefault="00137668" w:rsidP="00F05BA0">
      <w:pPr>
        <w:numPr>
          <w:ilvl w:val="0"/>
          <w:numId w:val="1"/>
        </w:numPr>
        <w:spacing w:after="120" w:line="312" w:lineRule="auto"/>
        <w:jc w:val="both"/>
      </w:pPr>
      <w:r>
        <w:t xml:space="preserve">I po zavedení EET bude méně těch, kteří budou požadovat účtenku, mezi těmi, kteří mají zkušenosti s podnikáním. </w:t>
      </w:r>
    </w:p>
    <w:p w14:paraId="0434721C" w14:textId="77777777" w:rsidR="00F05BA0" w:rsidRDefault="00F05BA0" w:rsidP="00F05BA0"/>
    <w:p w14:paraId="6B0A6201" w14:textId="77777777" w:rsidR="00F05BA0" w:rsidRDefault="00F05BA0" w:rsidP="00F05BA0"/>
    <w:p w14:paraId="085EA54C" w14:textId="77777777" w:rsidR="004D282E" w:rsidRDefault="004D282E" w:rsidP="004C13DF"/>
    <w:p w14:paraId="31F7FB80" w14:textId="77777777" w:rsidR="004D282E" w:rsidRDefault="004D282E" w:rsidP="004D282E">
      <w:pPr>
        <w:pStyle w:val="Zkladntext3"/>
        <w:spacing w:after="120" w:line="240" w:lineRule="auto"/>
        <w:rPr>
          <w:sz w:val="25"/>
          <w:szCs w:val="25"/>
        </w:rPr>
      </w:pPr>
      <w:r w:rsidRPr="009D05B0">
        <w:rPr>
          <w:noProof/>
          <w:lang w:val="cs-CZ" w:eastAsia="cs-CZ"/>
        </w:rPr>
        <w:drawing>
          <wp:inline distT="0" distB="0" distL="0" distR="0" wp14:anchorId="51A0EE9A" wp14:editId="58E38FE0">
            <wp:extent cx="5770709" cy="3995697"/>
            <wp:effectExtent l="0" t="0" r="0" b="0"/>
            <wp:docPr id="57"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14:paraId="11781B65" w14:textId="77777777" w:rsidR="004D282E" w:rsidRDefault="004D282E" w:rsidP="004D282E">
      <w:pPr>
        <w:pStyle w:val="Zkladntext3"/>
        <w:spacing w:after="120" w:line="240" w:lineRule="auto"/>
        <w:rPr>
          <w:b w:val="0"/>
          <w:i w:val="0"/>
          <w:sz w:val="20"/>
          <w:szCs w:val="20"/>
        </w:rPr>
      </w:pPr>
      <w:r>
        <w:rPr>
          <w:b w:val="0"/>
          <w:i w:val="0"/>
          <w:sz w:val="20"/>
          <w:szCs w:val="20"/>
        </w:rPr>
        <w:t>Pramen: EET II., STEM, květen 2016, 1010 respondentů</w:t>
      </w:r>
    </w:p>
    <w:p w14:paraId="47BFA684" w14:textId="77777777" w:rsidR="004D282E" w:rsidRDefault="004D282E" w:rsidP="004D282E">
      <w:pPr>
        <w:spacing w:line="360" w:lineRule="auto"/>
        <w:jc w:val="both"/>
      </w:pPr>
    </w:p>
    <w:p w14:paraId="1E63F1F8" w14:textId="77777777" w:rsidR="00E22847" w:rsidRDefault="00E22847" w:rsidP="00E22847">
      <w:pPr>
        <w:pStyle w:val="Zkladntext3"/>
        <w:spacing w:after="120" w:line="240" w:lineRule="auto"/>
        <w:rPr>
          <w:sz w:val="25"/>
          <w:szCs w:val="25"/>
        </w:rPr>
      </w:pPr>
      <w:r w:rsidRPr="009D05B0">
        <w:rPr>
          <w:noProof/>
          <w:lang w:val="cs-CZ" w:eastAsia="cs-CZ"/>
        </w:rPr>
        <w:drawing>
          <wp:inline distT="0" distB="0" distL="0" distR="0" wp14:anchorId="46965AC2" wp14:editId="5F4B0506">
            <wp:extent cx="5770709" cy="3995697"/>
            <wp:effectExtent l="0" t="0" r="0" b="0"/>
            <wp:docPr id="58"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14:paraId="7B466CAA" w14:textId="77777777" w:rsidR="00E22847" w:rsidRDefault="00E22847" w:rsidP="00E22847">
      <w:pPr>
        <w:pStyle w:val="Zkladntext3"/>
        <w:spacing w:after="120" w:line="240" w:lineRule="auto"/>
        <w:rPr>
          <w:b w:val="0"/>
          <w:i w:val="0"/>
          <w:sz w:val="20"/>
          <w:szCs w:val="20"/>
        </w:rPr>
      </w:pPr>
      <w:r>
        <w:rPr>
          <w:b w:val="0"/>
          <w:i w:val="0"/>
          <w:sz w:val="20"/>
          <w:szCs w:val="20"/>
        </w:rPr>
        <w:t>Pramen: EET II., STEM, květen 2016, 1010 respondentů</w:t>
      </w:r>
    </w:p>
    <w:p w14:paraId="57C3B117" w14:textId="77777777" w:rsidR="00D207A2" w:rsidRDefault="00D207A2" w:rsidP="00D207A2">
      <w:pPr>
        <w:pStyle w:val="Zkladntext3"/>
        <w:spacing w:after="120" w:line="240" w:lineRule="auto"/>
        <w:rPr>
          <w:sz w:val="25"/>
          <w:szCs w:val="25"/>
        </w:rPr>
      </w:pPr>
      <w:r>
        <w:rPr>
          <w:noProof/>
          <w:lang w:val="cs-CZ" w:eastAsia="cs-CZ"/>
        </w:rPr>
        <w:drawing>
          <wp:inline distT="0" distB="0" distL="0" distR="0" wp14:anchorId="46448ACD" wp14:editId="6C93D6EA">
            <wp:extent cx="5770709" cy="3941909"/>
            <wp:effectExtent l="0" t="0" r="0" b="0"/>
            <wp:docPr id="54"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14:paraId="096D9899" w14:textId="77777777" w:rsidR="00D207A2" w:rsidRDefault="00D207A2" w:rsidP="00D207A2">
      <w:pPr>
        <w:pStyle w:val="Zkladntext3"/>
        <w:spacing w:after="120" w:line="240" w:lineRule="auto"/>
        <w:rPr>
          <w:b w:val="0"/>
          <w:i w:val="0"/>
          <w:sz w:val="20"/>
          <w:szCs w:val="20"/>
        </w:rPr>
      </w:pPr>
      <w:r>
        <w:rPr>
          <w:b w:val="0"/>
          <w:i w:val="0"/>
          <w:sz w:val="20"/>
          <w:szCs w:val="20"/>
        </w:rPr>
        <w:t>Pramen: EET II., STEM, květen 2016, 1010 respondentů</w:t>
      </w:r>
    </w:p>
    <w:p w14:paraId="4C83E5DF" w14:textId="77777777" w:rsidR="004D282E" w:rsidRDefault="004D282E" w:rsidP="004C13DF"/>
    <w:p w14:paraId="7B167001" w14:textId="77777777" w:rsidR="00331808" w:rsidRDefault="00331808">
      <w:r>
        <w:br w:type="page"/>
      </w:r>
    </w:p>
    <w:p w14:paraId="26D3C7F5" w14:textId="77777777" w:rsidR="00331808" w:rsidRDefault="008248F4" w:rsidP="00331808">
      <w:pPr>
        <w:pStyle w:val="Zkladntext"/>
        <w:numPr>
          <w:ilvl w:val="0"/>
          <w:numId w:val="4"/>
        </w:numPr>
        <w:shd w:val="clear" w:color="auto" w:fill="FFFF99"/>
        <w:jc w:val="center"/>
        <w:rPr>
          <w:b/>
          <w:i w:val="0"/>
          <w:sz w:val="32"/>
          <w:szCs w:val="28"/>
        </w:rPr>
      </w:pPr>
      <w:r>
        <w:rPr>
          <w:b/>
          <w:i w:val="0"/>
          <w:sz w:val="32"/>
          <w:szCs w:val="28"/>
        </w:rPr>
        <w:t>U t</w:t>
      </w:r>
      <w:r w:rsidR="00D156AC">
        <w:rPr>
          <w:b/>
          <w:i w:val="0"/>
          <w:sz w:val="32"/>
          <w:szCs w:val="28"/>
        </w:rPr>
        <w:t>říčtvrtinov</w:t>
      </w:r>
      <w:r>
        <w:rPr>
          <w:b/>
          <w:i w:val="0"/>
          <w:sz w:val="32"/>
          <w:szCs w:val="28"/>
        </w:rPr>
        <w:t>é většiny</w:t>
      </w:r>
      <w:r w:rsidR="00D156AC">
        <w:rPr>
          <w:b/>
          <w:i w:val="0"/>
          <w:sz w:val="32"/>
          <w:szCs w:val="28"/>
        </w:rPr>
        <w:t xml:space="preserve"> </w:t>
      </w:r>
      <w:r w:rsidR="00331808">
        <w:rPr>
          <w:b/>
          <w:i w:val="0"/>
          <w:sz w:val="32"/>
          <w:szCs w:val="28"/>
        </w:rPr>
        <w:t xml:space="preserve">dotázaných občanů </w:t>
      </w:r>
      <w:r w:rsidR="00D156AC">
        <w:rPr>
          <w:b/>
          <w:i w:val="0"/>
          <w:sz w:val="32"/>
          <w:szCs w:val="28"/>
        </w:rPr>
        <w:t xml:space="preserve">by slosovatelnost účtenky zvýšila motivaci požadovat </w:t>
      </w:r>
      <w:r>
        <w:rPr>
          <w:b/>
          <w:i w:val="0"/>
          <w:sz w:val="32"/>
          <w:szCs w:val="28"/>
        </w:rPr>
        <w:br/>
      </w:r>
      <w:r w:rsidR="00D156AC">
        <w:rPr>
          <w:b/>
          <w:i w:val="0"/>
          <w:sz w:val="32"/>
          <w:szCs w:val="28"/>
        </w:rPr>
        <w:t>při placení účtenku</w:t>
      </w:r>
      <w:r w:rsidR="00331808">
        <w:rPr>
          <w:b/>
          <w:i w:val="0"/>
          <w:sz w:val="32"/>
          <w:szCs w:val="28"/>
        </w:rPr>
        <w:t>.</w:t>
      </w:r>
    </w:p>
    <w:p w14:paraId="25AAC391" w14:textId="77777777" w:rsidR="00331808" w:rsidRDefault="00D77605" w:rsidP="00331808">
      <w:pPr>
        <w:pStyle w:val="Zkladntext"/>
        <w:rPr>
          <w:b/>
          <w:i w:val="0"/>
          <w:szCs w:val="28"/>
        </w:rPr>
      </w:pPr>
      <w:r>
        <w:rPr>
          <w:b/>
          <w:i w:val="0"/>
          <w:szCs w:val="28"/>
        </w:rPr>
        <w:pict w14:anchorId="2FE614BB">
          <v:rect id="_x0000_i1043" style="width:453.6pt;height:2pt" o:hralign="center" o:hrstd="t" o:hrnoshade="t" o:hr="t" fillcolor="#603" stroked="f"/>
        </w:pict>
      </w:r>
    </w:p>
    <w:p w14:paraId="231D690B" w14:textId="77777777" w:rsidR="00331808" w:rsidRDefault="00331808" w:rsidP="00331808">
      <w:pPr>
        <w:tabs>
          <w:tab w:val="left" w:pos="7635"/>
        </w:tabs>
        <w:rPr>
          <w:b/>
          <w:bCs/>
          <w:i/>
          <w:sz w:val="28"/>
          <w:szCs w:val="28"/>
        </w:rPr>
      </w:pPr>
    </w:p>
    <w:p w14:paraId="3A539CE5" w14:textId="77777777" w:rsidR="00331808" w:rsidRDefault="00331808" w:rsidP="00331808">
      <w:pPr>
        <w:tabs>
          <w:tab w:val="left" w:pos="7635"/>
        </w:tabs>
        <w:rPr>
          <w:b/>
          <w:bCs/>
          <w:i/>
          <w:sz w:val="28"/>
          <w:szCs w:val="28"/>
        </w:rPr>
      </w:pPr>
    </w:p>
    <w:p w14:paraId="34B6C520" w14:textId="77777777" w:rsidR="00331808" w:rsidRPr="009A04ED" w:rsidRDefault="00331808" w:rsidP="00331808">
      <w:pPr>
        <w:pStyle w:val="Zkladntext3"/>
        <w:spacing w:after="120" w:line="240" w:lineRule="auto"/>
        <w:rPr>
          <w:b w:val="0"/>
          <w:bCs/>
          <w:iCs w:val="0"/>
        </w:rPr>
      </w:pPr>
      <w:r w:rsidRPr="009A04ED">
        <w:rPr>
          <w:b w:val="0"/>
        </w:rPr>
        <w:t>„</w:t>
      </w:r>
      <w:r>
        <w:rPr>
          <w:b w:val="0"/>
        </w:rPr>
        <w:t>Zvýšilo by Vaši motivaci požadovat při placení účtenku, pokud by byla tato účtenka slosovatelná o finanční nebo věcné výhry</w:t>
      </w:r>
      <w:r w:rsidRPr="009A04ED">
        <w:rPr>
          <w:b w:val="0"/>
        </w:rPr>
        <w:t>?</w:t>
      </w:r>
      <w:r w:rsidRPr="009A04ED">
        <w:rPr>
          <w:b w:val="0"/>
          <w:bCs/>
          <w:iCs w:val="0"/>
        </w:rPr>
        <w:t>“</w:t>
      </w:r>
    </w:p>
    <w:p w14:paraId="62B51E7C" w14:textId="77777777" w:rsidR="00331808" w:rsidRPr="009A04ED" w:rsidRDefault="00331808" w:rsidP="00331808">
      <w:pPr>
        <w:pStyle w:val="Zkladntext3"/>
        <w:spacing w:line="240" w:lineRule="auto"/>
        <w:rPr>
          <w:b w:val="0"/>
        </w:rPr>
      </w:pPr>
    </w:p>
    <w:p w14:paraId="595F6E49" w14:textId="77777777" w:rsidR="00331808" w:rsidRDefault="00331808" w:rsidP="00331808">
      <w:pPr>
        <w:rPr>
          <w:b/>
          <w:color w:val="FF0000"/>
        </w:rPr>
      </w:pPr>
      <w:r>
        <w:rPr>
          <w:b/>
          <w:noProof/>
          <w:color w:val="FF0000"/>
        </w:rPr>
        <w:drawing>
          <wp:inline distT="0" distB="0" distL="0" distR="0" wp14:anchorId="28B62652" wp14:editId="3AAD4DCD">
            <wp:extent cx="5678805" cy="2704465"/>
            <wp:effectExtent l="0" t="0" r="0" b="0"/>
            <wp:docPr id="49" name="Graf 4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14:paraId="3D16CE4C" w14:textId="77777777" w:rsidR="00137668" w:rsidRDefault="00137668" w:rsidP="00137668"/>
    <w:p w14:paraId="2EF5030A" w14:textId="77777777" w:rsidR="00137668" w:rsidRDefault="00137668" w:rsidP="00137668"/>
    <w:p w14:paraId="088270C6" w14:textId="77777777" w:rsidR="00137668" w:rsidRDefault="00137668" w:rsidP="00137668"/>
    <w:p w14:paraId="0F2D231D" w14:textId="77777777" w:rsidR="00137668" w:rsidRDefault="006B05C4" w:rsidP="00137668">
      <w:pPr>
        <w:numPr>
          <w:ilvl w:val="0"/>
          <w:numId w:val="1"/>
        </w:numPr>
        <w:spacing w:after="120" w:line="312" w:lineRule="auto"/>
        <w:jc w:val="both"/>
      </w:pPr>
      <w:r>
        <w:t>Možnost výhry by častěji ovlivnila motivaci požadovat při placení účtenku u lidí s nižším vzděláním. Mezi vysokoškolsky vzdělanými je významně méně těch, kteří by se slosovatelností účtenek dali ovlivnit, přesto i mezi nimi jich je většina.</w:t>
      </w:r>
    </w:p>
    <w:p w14:paraId="51A8D871" w14:textId="77777777" w:rsidR="006B05C4" w:rsidRDefault="006B05C4" w:rsidP="00137668">
      <w:pPr>
        <w:numPr>
          <w:ilvl w:val="0"/>
          <w:numId w:val="1"/>
        </w:numPr>
        <w:spacing w:after="120" w:line="312" w:lineRule="auto"/>
        <w:jc w:val="both"/>
      </w:pPr>
      <w:r>
        <w:t>Mezi lidmi, kteří osobně nebo někdo z rodiny přijímají hotovostní tržby z podnikání, je pouze mírně nadpoloviční podíl těch, kteří uvádějí, že jejich motivaci požadovat při placení účtenku by zvýšila možnost finanční nebo věcné výhry.</w:t>
      </w:r>
    </w:p>
    <w:p w14:paraId="558436C6" w14:textId="77777777" w:rsidR="003A7B1E" w:rsidRDefault="003A7B1E" w:rsidP="00137668">
      <w:pPr>
        <w:numPr>
          <w:ilvl w:val="0"/>
          <w:numId w:val="1"/>
        </w:numPr>
        <w:spacing w:after="120" w:line="312" w:lineRule="auto"/>
        <w:jc w:val="both"/>
      </w:pPr>
      <w:r>
        <w:t>Mezi lidmi, kteří zatím uvádějí, že nebudou po zavedení elektronické evidence tržeb požadovat při placení běžných nákupů účtenku, je mírně nadpoloviční většina těch, kteří připouštějí, že možnost výhry by zvýšila jejich motivaci účtenku vyžadovat.</w:t>
      </w:r>
    </w:p>
    <w:p w14:paraId="4C362DF5" w14:textId="77777777" w:rsidR="008248F4" w:rsidRDefault="008248F4" w:rsidP="00331808"/>
    <w:p w14:paraId="558DFCA6" w14:textId="77777777" w:rsidR="008248F4" w:rsidRDefault="008248F4" w:rsidP="00331808"/>
    <w:p w14:paraId="432254AE" w14:textId="77777777" w:rsidR="008248F4" w:rsidRDefault="008248F4" w:rsidP="008248F4">
      <w:pPr>
        <w:pStyle w:val="Zkladntext3"/>
        <w:spacing w:after="120" w:line="240" w:lineRule="auto"/>
        <w:rPr>
          <w:sz w:val="25"/>
          <w:szCs w:val="25"/>
        </w:rPr>
      </w:pPr>
      <w:r w:rsidRPr="009D05B0">
        <w:rPr>
          <w:noProof/>
          <w:lang w:val="cs-CZ" w:eastAsia="cs-CZ"/>
        </w:rPr>
        <w:drawing>
          <wp:inline distT="0" distB="0" distL="0" distR="0" wp14:anchorId="7953E19D" wp14:editId="280ED6D2">
            <wp:extent cx="5770709" cy="3995697"/>
            <wp:effectExtent l="0" t="0" r="0" b="0"/>
            <wp:docPr id="59"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14:paraId="17177207" w14:textId="77777777" w:rsidR="008248F4" w:rsidRDefault="008248F4" w:rsidP="008248F4">
      <w:pPr>
        <w:pStyle w:val="Zkladntext3"/>
        <w:spacing w:after="120" w:line="240" w:lineRule="auto"/>
        <w:rPr>
          <w:b w:val="0"/>
          <w:i w:val="0"/>
          <w:sz w:val="20"/>
          <w:szCs w:val="20"/>
        </w:rPr>
      </w:pPr>
      <w:r>
        <w:rPr>
          <w:b w:val="0"/>
          <w:i w:val="0"/>
          <w:sz w:val="20"/>
          <w:szCs w:val="20"/>
        </w:rPr>
        <w:t>Pramen: EET II., STEM, květen 2016, 1010 respondentů</w:t>
      </w:r>
    </w:p>
    <w:p w14:paraId="797E2FB6" w14:textId="77777777" w:rsidR="008248F4" w:rsidRDefault="008248F4" w:rsidP="00331808"/>
    <w:p w14:paraId="78F949A8" w14:textId="77777777" w:rsidR="006B05C4" w:rsidRDefault="006B05C4" w:rsidP="006B05C4">
      <w:pPr>
        <w:pStyle w:val="Zkladntext3"/>
        <w:spacing w:after="120" w:line="240" w:lineRule="auto"/>
        <w:rPr>
          <w:sz w:val="25"/>
          <w:szCs w:val="25"/>
        </w:rPr>
      </w:pPr>
      <w:r>
        <w:rPr>
          <w:noProof/>
          <w:lang w:val="cs-CZ" w:eastAsia="cs-CZ"/>
        </w:rPr>
        <w:drawing>
          <wp:inline distT="0" distB="0" distL="0" distR="0" wp14:anchorId="728BA7D6" wp14:editId="1E6925C5">
            <wp:extent cx="5770709" cy="3941909"/>
            <wp:effectExtent l="0" t="0" r="0" b="0"/>
            <wp:docPr id="60"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p>
    <w:p w14:paraId="0E8BABA5" w14:textId="77777777" w:rsidR="006B05C4" w:rsidRDefault="006B05C4" w:rsidP="006B05C4">
      <w:pPr>
        <w:pStyle w:val="Zkladntext3"/>
        <w:spacing w:after="120" w:line="240" w:lineRule="auto"/>
        <w:rPr>
          <w:b w:val="0"/>
          <w:i w:val="0"/>
          <w:sz w:val="20"/>
          <w:szCs w:val="20"/>
          <w:lang w:val="cs-CZ"/>
        </w:rPr>
      </w:pPr>
      <w:r>
        <w:rPr>
          <w:b w:val="0"/>
          <w:i w:val="0"/>
          <w:sz w:val="20"/>
          <w:szCs w:val="20"/>
        </w:rPr>
        <w:t>Pramen: EET II., STEM, květen 2016, 1010 respondentů</w:t>
      </w:r>
    </w:p>
    <w:p w14:paraId="1F4484ED" w14:textId="77777777" w:rsidR="003A7B1E" w:rsidRDefault="003A7B1E" w:rsidP="006B05C4">
      <w:pPr>
        <w:pStyle w:val="Zkladntext3"/>
        <w:spacing w:after="120" w:line="240" w:lineRule="auto"/>
        <w:rPr>
          <w:b w:val="0"/>
          <w:i w:val="0"/>
          <w:sz w:val="20"/>
          <w:szCs w:val="20"/>
          <w:lang w:val="cs-CZ"/>
        </w:rPr>
      </w:pPr>
    </w:p>
    <w:p w14:paraId="22AC437A" w14:textId="77777777" w:rsidR="003A7B1E" w:rsidRDefault="003A7B1E" w:rsidP="003A7B1E">
      <w:pPr>
        <w:pStyle w:val="Zkladntext3"/>
        <w:spacing w:after="120" w:line="240" w:lineRule="auto"/>
        <w:rPr>
          <w:sz w:val="25"/>
          <w:szCs w:val="25"/>
        </w:rPr>
      </w:pPr>
      <w:r>
        <w:rPr>
          <w:noProof/>
          <w:lang w:val="cs-CZ" w:eastAsia="cs-CZ"/>
        </w:rPr>
        <w:drawing>
          <wp:inline distT="0" distB="0" distL="0" distR="0" wp14:anchorId="4ADFA613" wp14:editId="59E277DB">
            <wp:extent cx="5770709" cy="3941909"/>
            <wp:effectExtent l="0" t="0" r="0" b="0"/>
            <wp:docPr id="63"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p w14:paraId="45A56ED2" w14:textId="77777777" w:rsidR="003A7B1E" w:rsidRDefault="003A7B1E" w:rsidP="003A7B1E">
      <w:pPr>
        <w:pStyle w:val="Zkladntext3"/>
        <w:spacing w:after="120" w:line="240" w:lineRule="auto"/>
        <w:rPr>
          <w:b w:val="0"/>
          <w:i w:val="0"/>
          <w:sz w:val="20"/>
          <w:szCs w:val="20"/>
        </w:rPr>
      </w:pPr>
      <w:r>
        <w:rPr>
          <w:b w:val="0"/>
          <w:i w:val="0"/>
          <w:sz w:val="20"/>
          <w:szCs w:val="20"/>
        </w:rPr>
        <w:t>Pramen: EET II., STEM, květen 2016, 1010 respondentů</w:t>
      </w:r>
    </w:p>
    <w:p w14:paraId="76993D69" w14:textId="77777777" w:rsidR="003A7B1E" w:rsidRPr="003A7B1E" w:rsidRDefault="003A7B1E" w:rsidP="006B05C4">
      <w:pPr>
        <w:pStyle w:val="Zkladntext3"/>
        <w:spacing w:after="120" w:line="240" w:lineRule="auto"/>
        <w:rPr>
          <w:b w:val="0"/>
          <w:i w:val="0"/>
          <w:sz w:val="20"/>
          <w:szCs w:val="20"/>
          <w:lang w:val="cs-CZ"/>
        </w:rPr>
      </w:pPr>
    </w:p>
    <w:p w14:paraId="6FD5DE27" w14:textId="77777777" w:rsidR="00331808" w:rsidRDefault="00331808" w:rsidP="00331808">
      <w:r>
        <w:br w:type="page"/>
      </w:r>
    </w:p>
    <w:p w14:paraId="7AB8657E" w14:textId="77777777" w:rsidR="009A6FF0" w:rsidRPr="00597C6D" w:rsidRDefault="00DF12DD" w:rsidP="00331808">
      <w:pPr>
        <w:pStyle w:val="Zkladntext"/>
        <w:numPr>
          <w:ilvl w:val="0"/>
          <w:numId w:val="4"/>
        </w:numPr>
        <w:shd w:val="clear" w:color="auto" w:fill="FFFF99"/>
        <w:spacing w:after="120"/>
        <w:jc w:val="center"/>
        <w:rPr>
          <w:b/>
          <w:i w:val="0"/>
          <w:sz w:val="32"/>
          <w:szCs w:val="32"/>
        </w:rPr>
      </w:pPr>
      <w:r>
        <w:rPr>
          <w:b/>
          <w:i w:val="0"/>
          <w:sz w:val="32"/>
          <w:szCs w:val="32"/>
        </w:rPr>
        <w:t xml:space="preserve">Necelá pětina dotázaných </w:t>
      </w:r>
      <w:r w:rsidR="009A6FF0">
        <w:rPr>
          <w:b/>
          <w:i w:val="0"/>
          <w:sz w:val="32"/>
          <w:szCs w:val="32"/>
        </w:rPr>
        <w:t xml:space="preserve">občanů </w:t>
      </w:r>
      <w:r>
        <w:rPr>
          <w:b/>
          <w:i w:val="0"/>
          <w:sz w:val="32"/>
          <w:szCs w:val="32"/>
        </w:rPr>
        <w:t>má zkušenosti osobní nebo zprostředkované v rámci rodiny s přijímáním hotovostních tržeb z podnikání</w:t>
      </w:r>
      <w:r w:rsidR="009A6FF0">
        <w:rPr>
          <w:b/>
          <w:i w:val="0"/>
          <w:sz w:val="32"/>
          <w:szCs w:val="32"/>
        </w:rPr>
        <w:t>.</w:t>
      </w:r>
    </w:p>
    <w:p w14:paraId="0F1A7F33" w14:textId="77777777" w:rsidR="009A6FF0" w:rsidRDefault="00D77605" w:rsidP="009A6FF0">
      <w:pPr>
        <w:jc w:val="center"/>
        <w:rPr>
          <w:b/>
          <w:iCs/>
          <w:color w:val="FF0000"/>
          <w:sz w:val="32"/>
        </w:rPr>
      </w:pPr>
      <w:r>
        <w:rPr>
          <w:b/>
          <w:iCs/>
          <w:color w:val="FF0000"/>
          <w:sz w:val="32"/>
        </w:rPr>
        <w:pict w14:anchorId="0889A701">
          <v:rect id="_x0000_i1044" style="width:453.6pt;height:2pt" o:hralign="center" o:hrstd="t" o:hrnoshade="t" o:hr="t" fillcolor="#603" stroked="f"/>
        </w:pict>
      </w:r>
    </w:p>
    <w:p w14:paraId="068E74B7" w14:textId="77777777" w:rsidR="009A6FF0" w:rsidRDefault="009A6FF0" w:rsidP="009A6FF0">
      <w:pPr>
        <w:pStyle w:val="Zkladntext3"/>
        <w:spacing w:line="240" w:lineRule="auto"/>
        <w:rPr>
          <w:bCs/>
          <w:iCs w:val="0"/>
        </w:rPr>
      </w:pPr>
    </w:p>
    <w:p w14:paraId="222031E7" w14:textId="77777777" w:rsidR="009A6FF0" w:rsidRDefault="009A6FF0" w:rsidP="009A6FF0">
      <w:pPr>
        <w:pStyle w:val="Zkladntext3"/>
        <w:spacing w:line="240" w:lineRule="auto"/>
        <w:rPr>
          <w:bCs/>
          <w:iCs w:val="0"/>
        </w:rPr>
      </w:pPr>
    </w:p>
    <w:p w14:paraId="48271ED8" w14:textId="77777777" w:rsidR="009A6FF0" w:rsidRPr="00A34D01" w:rsidRDefault="009A6FF0" w:rsidP="009A6FF0">
      <w:pPr>
        <w:pStyle w:val="Zkladntext3"/>
        <w:rPr>
          <w:b w:val="0"/>
          <w:bCs/>
          <w:iCs w:val="0"/>
        </w:rPr>
      </w:pPr>
      <w:r w:rsidRPr="00A34D01">
        <w:rPr>
          <w:b w:val="0"/>
          <w:bCs/>
          <w:iCs w:val="0"/>
        </w:rPr>
        <w:t>„</w:t>
      </w:r>
      <w:r w:rsidR="00331808">
        <w:rPr>
          <w:b w:val="0"/>
          <w:bCs/>
          <w:iCs w:val="0"/>
        </w:rPr>
        <w:t>Přijímáte Vy nebo někdo z okruhu Vaší rodiny hotovostní tržby z podnikání</w:t>
      </w:r>
      <w:r w:rsidRPr="00A34D01">
        <w:rPr>
          <w:b w:val="0"/>
          <w:bCs/>
          <w:iCs w:val="0"/>
        </w:rPr>
        <w:t>?“</w:t>
      </w:r>
    </w:p>
    <w:p w14:paraId="1FD71997" w14:textId="77777777" w:rsidR="009A6FF0" w:rsidRDefault="009A6FF0" w:rsidP="009A6FF0">
      <w:pPr>
        <w:rPr>
          <w:b/>
          <w:color w:val="FF0000"/>
        </w:rPr>
      </w:pPr>
      <w:r>
        <w:rPr>
          <w:b/>
          <w:noProof/>
          <w:color w:val="FF0000"/>
        </w:rPr>
        <w:drawing>
          <wp:inline distT="0" distB="0" distL="0" distR="0" wp14:anchorId="23D891E1" wp14:editId="466132C7">
            <wp:extent cx="5678805" cy="2704465"/>
            <wp:effectExtent l="0" t="0" r="0" b="0"/>
            <wp:docPr id="5" name="objek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14:paraId="19FD7685" w14:textId="77777777" w:rsidR="009A6FF0" w:rsidRDefault="009A6FF0" w:rsidP="009A6FF0">
      <w:pPr>
        <w:jc w:val="center"/>
        <w:rPr>
          <w:i/>
        </w:rPr>
      </w:pPr>
    </w:p>
    <w:p w14:paraId="2BB89CCA" w14:textId="77777777" w:rsidR="009A6FF0" w:rsidRDefault="009A6FF0" w:rsidP="009A6FF0">
      <w:pPr>
        <w:jc w:val="center"/>
        <w:rPr>
          <w:i/>
        </w:rPr>
      </w:pPr>
    </w:p>
    <w:p w14:paraId="6463CE5E" w14:textId="77777777" w:rsidR="009A6FF0" w:rsidRDefault="009A6FF0" w:rsidP="009A6FF0">
      <w:pPr>
        <w:jc w:val="center"/>
        <w:rPr>
          <w:i/>
        </w:rPr>
      </w:pPr>
    </w:p>
    <w:p w14:paraId="63F0D5F2" w14:textId="77777777" w:rsidR="009A6FF0" w:rsidRDefault="009A6FF0" w:rsidP="009A6FF0">
      <w:pPr>
        <w:spacing w:after="120" w:line="360" w:lineRule="auto"/>
        <w:jc w:val="both"/>
      </w:pPr>
    </w:p>
    <w:p w14:paraId="294C910A" w14:textId="77777777" w:rsidR="009D0E74" w:rsidRDefault="009D0E74" w:rsidP="009D0E74"/>
    <w:p w14:paraId="7964E43A" w14:textId="77777777" w:rsidR="009A6FF0" w:rsidRDefault="009A6FF0" w:rsidP="007F4106"/>
    <w:sectPr w:rsidR="009A6FF0" w:rsidSect="00E31BD3">
      <w:footerReference w:type="even" r:id="rId74"/>
      <w:footerReference w:type="default" r:id="rId7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1C889" w14:textId="77777777" w:rsidR="00D35D8D" w:rsidRDefault="00D35D8D">
      <w:r>
        <w:separator/>
      </w:r>
    </w:p>
  </w:endnote>
  <w:endnote w:type="continuationSeparator" w:id="0">
    <w:p w14:paraId="592845C2" w14:textId="77777777" w:rsidR="00D35D8D" w:rsidRDefault="00D3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027C8" w14:textId="77777777" w:rsidR="00881C44" w:rsidRDefault="00881C44">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2FF319F8" w14:textId="77777777" w:rsidR="00881C44" w:rsidRDefault="00881C4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D66EA" w14:textId="77777777" w:rsidR="00881C44" w:rsidRDefault="00881C44">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D77605">
      <w:rPr>
        <w:rStyle w:val="slostrnky"/>
        <w:noProof/>
      </w:rPr>
      <w:t>2</w:t>
    </w:r>
    <w:r>
      <w:rPr>
        <w:rStyle w:val="slostrnky"/>
      </w:rPr>
      <w:fldChar w:fldCharType="end"/>
    </w:r>
  </w:p>
  <w:p w14:paraId="5331DE06" w14:textId="77777777" w:rsidR="00881C44" w:rsidRDefault="00881C4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23460" w14:textId="77777777" w:rsidR="00D35D8D" w:rsidRDefault="00D35D8D">
      <w:r>
        <w:separator/>
      </w:r>
    </w:p>
  </w:footnote>
  <w:footnote w:type="continuationSeparator" w:id="0">
    <w:p w14:paraId="3F7EBBE6" w14:textId="77777777" w:rsidR="00D35D8D" w:rsidRDefault="00D35D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4660B"/>
    <w:multiLevelType w:val="hybridMultilevel"/>
    <w:tmpl w:val="0B3A294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9BD2526"/>
    <w:multiLevelType w:val="hybridMultilevel"/>
    <w:tmpl w:val="A6E2E028"/>
    <w:lvl w:ilvl="0" w:tplc="0405000F">
      <w:start w:val="1"/>
      <w:numFmt w:val="decimal"/>
      <w:lvlText w:val="%1."/>
      <w:lvlJc w:val="left"/>
      <w:pPr>
        <w:ind w:left="786" w:hanging="360"/>
      </w:p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4CF4666"/>
    <w:multiLevelType w:val="hybridMultilevel"/>
    <w:tmpl w:val="DEB8E8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2A872B96"/>
    <w:multiLevelType w:val="hybridMultilevel"/>
    <w:tmpl w:val="921241A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37A022AE"/>
    <w:multiLevelType w:val="hybridMultilevel"/>
    <w:tmpl w:val="923209E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51CF4137"/>
    <w:multiLevelType w:val="hybridMultilevel"/>
    <w:tmpl w:val="AF16634C"/>
    <w:lvl w:ilvl="0" w:tplc="0405000F">
      <w:start w:val="4"/>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6">
    <w:nsid w:val="60306011"/>
    <w:multiLevelType w:val="hybridMultilevel"/>
    <w:tmpl w:val="2C08758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64E73017"/>
    <w:multiLevelType w:val="hybridMultilevel"/>
    <w:tmpl w:val="4C8881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5FF252F"/>
    <w:multiLevelType w:val="hybridMultilevel"/>
    <w:tmpl w:val="68F4CB1E"/>
    <w:lvl w:ilvl="0" w:tplc="8F261158">
      <w:start w:val="1"/>
      <w:numFmt w:val="bullet"/>
      <w:lvlText w:val=""/>
      <w:lvlJc w:val="left"/>
      <w:pPr>
        <w:tabs>
          <w:tab w:val="num" w:pos="360"/>
        </w:tabs>
        <w:ind w:left="357" w:hanging="357"/>
      </w:pPr>
      <w:rPr>
        <w:rFonts w:ascii="Symbol" w:hAnsi="Symbol" w:hint="default"/>
      </w:rPr>
    </w:lvl>
    <w:lvl w:ilvl="1" w:tplc="0405000F">
      <w:start w:val="1"/>
      <w:numFmt w:val="decimal"/>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69967649"/>
    <w:multiLevelType w:val="hybridMultilevel"/>
    <w:tmpl w:val="1A2C8A0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7B3F6F8B"/>
    <w:multiLevelType w:val="hybridMultilevel"/>
    <w:tmpl w:val="A24477F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7BF23712"/>
    <w:multiLevelType w:val="hybridMultilevel"/>
    <w:tmpl w:val="CB6206EE"/>
    <w:lvl w:ilvl="0" w:tplc="947A7E34">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7D54614A"/>
    <w:multiLevelType w:val="hybridMultilevel"/>
    <w:tmpl w:val="2182BC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7F8D1CD3"/>
    <w:multiLevelType w:val="hybridMultilevel"/>
    <w:tmpl w:val="3DCC4F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4"/>
  </w:num>
  <w:num w:numId="5">
    <w:abstractNumId w:val="0"/>
  </w:num>
  <w:num w:numId="6">
    <w:abstractNumId w:val="1"/>
  </w:num>
  <w:num w:numId="7">
    <w:abstractNumId w:val="7"/>
  </w:num>
  <w:num w:numId="8">
    <w:abstractNumId w:val="11"/>
  </w:num>
  <w:num w:numId="9">
    <w:abstractNumId w:val="10"/>
  </w:num>
  <w:num w:numId="10">
    <w:abstractNumId w:val="2"/>
  </w:num>
  <w:num w:numId="11">
    <w:abstractNumId w:val="6"/>
  </w:num>
  <w:num w:numId="12">
    <w:abstractNumId w:val="9"/>
  </w:num>
  <w:num w:numId="13">
    <w:abstractNumId w:val="12"/>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52B"/>
    <w:rsid w:val="00005C58"/>
    <w:rsid w:val="0001190B"/>
    <w:rsid w:val="00012051"/>
    <w:rsid w:val="00012FC8"/>
    <w:rsid w:val="0001796E"/>
    <w:rsid w:val="00023340"/>
    <w:rsid w:val="00023B22"/>
    <w:rsid w:val="00031A60"/>
    <w:rsid w:val="00032903"/>
    <w:rsid w:val="000417B4"/>
    <w:rsid w:val="00045F5F"/>
    <w:rsid w:val="0004634B"/>
    <w:rsid w:val="00050E8C"/>
    <w:rsid w:val="0005607D"/>
    <w:rsid w:val="0006070C"/>
    <w:rsid w:val="000607C4"/>
    <w:rsid w:val="000635C0"/>
    <w:rsid w:val="00067CE2"/>
    <w:rsid w:val="0007136D"/>
    <w:rsid w:val="000722C7"/>
    <w:rsid w:val="00073310"/>
    <w:rsid w:val="00075C27"/>
    <w:rsid w:val="00077610"/>
    <w:rsid w:val="00081FEF"/>
    <w:rsid w:val="00093B00"/>
    <w:rsid w:val="000A06E4"/>
    <w:rsid w:val="000A28F0"/>
    <w:rsid w:val="000A5583"/>
    <w:rsid w:val="000B10BE"/>
    <w:rsid w:val="000B30E5"/>
    <w:rsid w:val="000B3702"/>
    <w:rsid w:val="000C0898"/>
    <w:rsid w:val="000C550F"/>
    <w:rsid w:val="000C7092"/>
    <w:rsid w:val="000D2DF8"/>
    <w:rsid w:val="000D5484"/>
    <w:rsid w:val="000D6A74"/>
    <w:rsid w:val="000E0B7F"/>
    <w:rsid w:val="000E13BB"/>
    <w:rsid w:val="000E579F"/>
    <w:rsid w:val="000E6461"/>
    <w:rsid w:val="000F7BB8"/>
    <w:rsid w:val="00100CF2"/>
    <w:rsid w:val="001075D3"/>
    <w:rsid w:val="001105D1"/>
    <w:rsid w:val="001117CB"/>
    <w:rsid w:val="00113930"/>
    <w:rsid w:val="00113BCC"/>
    <w:rsid w:val="00124734"/>
    <w:rsid w:val="00130F50"/>
    <w:rsid w:val="00137668"/>
    <w:rsid w:val="00141551"/>
    <w:rsid w:val="00143B8F"/>
    <w:rsid w:val="00147A5C"/>
    <w:rsid w:val="00147A8A"/>
    <w:rsid w:val="001525DF"/>
    <w:rsid w:val="00160F30"/>
    <w:rsid w:val="00164FCA"/>
    <w:rsid w:val="001747BF"/>
    <w:rsid w:val="00184C3C"/>
    <w:rsid w:val="00193DFC"/>
    <w:rsid w:val="001959AA"/>
    <w:rsid w:val="0019665C"/>
    <w:rsid w:val="001B0331"/>
    <w:rsid w:val="001B1CF9"/>
    <w:rsid w:val="001C17B9"/>
    <w:rsid w:val="001C1994"/>
    <w:rsid w:val="001C1E94"/>
    <w:rsid w:val="001D06E4"/>
    <w:rsid w:val="001D5FB0"/>
    <w:rsid w:val="001F08EC"/>
    <w:rsid w:val="002009DF"/>
    <w:rsid w:val="0020111D"/>
    <w:rsid w:val="00203D67"/>
    <w:rsid w:val="00204610"/>
    <w:rsid w:val="00207B4C"/>
    <w:rsid w:val="00207FDD"/>
    <w:rsid w:val="002100B1"/>
    <w:rsid w:val="00213338"/>
    <w:rsid w:val="00217F6A"/>
    <w:rsid w:val="00221B62"/>
    <w:rsid w:val="0023188C"/>
    <w:rsid w:val="00234758"/>
    <w:rsid w:val="002370AC"/>
    <w:rsid w:val="002378FC"/>
    <w:rsid w:val="002409FB"/>
    <w:rsid w:val="00240D7A"/>
    <w:rsid w:val="002442F0"/>
    <w:rsid w:val="0024579D"/>
    <w:rsid w:val="002464DB"/>
    <w:rsid w:val="002506B5"/>
    <w:rsid w:val="00254E13"/>
    <w:rsid w:val="00264478"/>
    <w:rsid w:val="002665F1"/>
    <w:rsid w:val="00267A43"/>
    <w:rsid w:val="002706F5"/>
    <w:rsid w:val="002713ED"/>
    <w:rsid w:val="0027289C"/>
    <w:rsid w:val="002733C0"/>
    <w:rsid w:val="00275ECC"/>
    <w:rsid w:val="0027679E"/>
    <w:rsid w:val="0028008D"/>
    <w:rsid w:val="00280FC4"/>
    <w:rsid w:val="0028306B"/>
    <w:rsid w:val="002944F0"/>
    <w:rsid w:val="00294FA6"/>
    <w:rsid w:val="002956E3"/>
    <w:rsid w:val="00296295"/>
    <w:rsid w:val="00297E4A"/>
    <w:rsid w:val="002A2901"/>
    <w:rsid w:val="002B2C31"/>
    <w:rsid w:val="002B3C0F"/>
    <w:rsid w:val="002B510D"/>
    <w:rsid w:val="002B6DCD"/>
    <w:rsid w:val="002C6A52"/>
    <w:rsid w:val="002C6CB1"/>
    <w:rsid w:val="002C7E59"/>
    <w:rsid w:val="002D0873"/>
    <w:rsid w:val="002D37D8"/>
    <w:rsid w:val="002D5B1F"/>
    <w:rsid w:val="002E0816"/>
    <w:rsid w:val="002F1AD1"/>
    <w:rsid w:val="002F632D"/>
    <w:rsid w:val="002F77EF"/>
    <w:rsid w:val="002F7B34"/>
    <w:rsid w:val="00301C8D"/>
    <w:rsid w:val="00305994"/>
    <w:rsid w:val="00310D92"/>
    <w:rsid w:val="003126E0"/>
    <w:rsid w:val="0031331A"/>
    <w:rsid w:val="00313C84"/>
    <w:rsid w:val="00315492"/>
    <w:rsid w:val="00321596"/>
    <w:rsid w:val="0032262F"/>
    <w:rsid w:val="0032337E"/>
    <w:rsid w:val="00325FEA"/>
    <w:rsid w:val="00331808"/>
    <w:rsid w:val="003367FC"/>
    <w:rsid w:val="00337312"/>
    <w:rsid w:val="003421B6"/>
    <w:rsid w:val="00342AE1"/>
    <w:rsid w:val="003468F4"/>
    <w:rsid w:val="00346B5B"/>
    <w:rsid w:val="003472E7"/>
    <w:rsid w:val="00347D7A"/>
    <w:rsid w:val="0035341C"/>
    <w:rsid w:val="00354FF5"/>
    <w:rsid w:val="00367148"/>
    <w:rsid w:val="00381FA8"/>
    <w:rsid w:val="00382398"/>
    <w:rsid w:val="00386775"/>
    <w:rsid w:val="00391E43"/>
    <w:rsid w:val="00391F58"/>
    <w:rsid w:val="00395B31"/>
    <w:rsid w:val="003A0C6C"/>
    <w:rsid w:val="003A1086"/>
    <w:rsid w:val="003A4B21"/>
    <w:rsid w:val="003A7B1E"/>
    <w:rsid w:val="003B12B5"/>
    <w:rsid w:val="003B4565"/>
    <w:rsid w:val="003B6E1A"/>
    <w:rsid w:val="003C2E46"/>
    <w:rsid w:val="003C48E9"/>
    <w:rsid w:val="003D3F43"/>
    <w:rsid w:val="003D7A7A"/>
    <w:rsid w:val="003E0DC9"/>
    <w:rsid w:val="003F5415"/>
    <w:rsid w:val="00402258"/>
    <w:rsid w:val="0041138C"/>
    <w:rsid w:val="00416113"/>
    <w:rsid w:val="004223BA"/>
    <w:rsid w:val="00422615"/>
    <w:rsid w:val="004247CB"/>
    <w:rsid w:val="00424BAF"/>
    <w:rsid w:val="00425CB0"/>
    <w:rsid w:val="0042774C"/>
    <w:rsid w:val="00427B54"/>
    <w:rsid w:val="00430B03"/>
    <w:rsid w:val="0043251B"/>
    <w:rsid w:val="004353BB"/>
    <w:rsid w:val="00435437"/>
    <w:rsid w:val="00441923"/>
    <w:rsid w:val="00443114"/>
    <w:rsid w:val="00443A3E"/>
    <w:rsid w:val="00453FBF"/>
    <w:rsid w:val="00460FA7"/>
    <w:rsid w:val="00461C6C"/>
    <w:rsid w:val="004623C3"/>
    <w:rsid w:val="00464885"/>
    <w:rsid w:val="0046598C"/>
    <w:rsid w:val="004728C5"/>
    <w:rsid w:val="004734F1"/>
    <w:rsid w:val="0047464C"/>
    <w:rsid w:val="00477C94"/>
    <w:rsid w:val="00490521"/>
    <w:rsid w:val="00495519"/>
    <w:rsid w:val="004A4A45"/>
    <w:rsid w:val="004B52ED"/>
    <w:rsid w:val="004C0CE6"/>
    <w:rsid w:val="004C13DF"/>
    <w:rsid w:val="004C29B6"/>
    <w:rsid w:val="004D282E"/>
    <w:rsid w:val="004D37F4"/>
    <w:rsid w:val="004D4A58"/>
    <w:rsid w:val="004D6568"/>
    <w:rsid w:val="004D70B8"/>
    <w:rsid w:val="004E1087"/>
    <w:rsid w:val="004E3E8C"/>
    <w:rsid w:val="004E55CB"/>
    <w:rsid w:val="004E7397"/>
    <w:rsid w:val="004F1888"/>
    <w:rsid w:val="004F1AF3"/>
    <w:rsid w:val="0050352B"/>
    <w:rsid w:val="00507D52"/>
    <w:rsid w:val="0051003C"/>
    <w:rsid w:val="00514EE0"/>
    <w:rsid w:val="00527890"/>
    <w:rsid w:val="005359A2"/>
    <w:rsid w:val="0053697C"/>
    <w:rsid w:val="00540906"/>
    <w:rsid w:val="0054576C"/>
    <w:rsid w:val="005502CC"/>
    <w:rsid w:val="00553A0A"/>
    <w:rsid w:val="005556C9"/>
    <w:rsid w:val="00563ED1"/>
    <w:rsid w:val="0056590E"/>
    <w:rsid w:val="005805A7"/>
    <w:rsid w:val="00585B92"/>
    <w:rsid w:val="0058646F"/>
    <w:rsid w:val="00591928"/>
    <w:rsid w:val="005A5A62"/>
    <w:rsid w:val="005A7C79"/>
    <w:rsid w:val="005B23C1"/>
    <w:rsid w:val="005B4711"/>
    <w:rsid w:val="005B537C"/>
    <w:rsid w:val="005B5493"/>
    <w:rsid w:val="005B62EF"/>
    <w:rsid w:val="005B63AB"/>
    <w:rsid w:val="005B7E22"/>
    <w:rsid w:val="005C03EF"/>
    <w:rsid w:val="005C051B"/>
    <w:rsid w:val="005C0AE6"/>
    <w:rsid w:val="005C4DED"/>
    <w:rsid w:val="005D65E5"/>
    <w:rsid w:val="005E0986"/>
    <w:rsid w:val="005E2F62"/>
    <w:rsid w:val="005F7B9D"/>
    <w:rsid w:val="00602F0C"/>
    <w:rsid w:val="00604043"/>
    <w:rsid w:val="00604805"/>
    <w:rsid w:val="0061412C"/>
    <w:rsid w:val="00615171"/>
    <w:rsid w:val="00615B28"/>
    <w:rsid w:val="00617258"/>
    <w:rsid w:val="006227E9"/>
    <w:rsid w:val="00627FD5"/>
    <w:rsid w:val="00631700"/>
    <w:rsid w:val="006331BF"/>
    <w:rsid w:val="0064096F"/>
    <w:rsid w:val="00642028"/>
    <w:rsid w:val="006568E4"/>
    <w:rsid w:val="0066565D"/>
    <w:rsid w:val="006657BD"/>
    <w:rsid w:val="00665FAD"/>
    <w:rsid w:val="006738F3"/>
    <w:rsid w:val="00677738"/>
    <w:rsid w:val="00683BDE"/>
    <w:rsid w:val="0069129A"/>
    <w:rsid w:val="006943D7"/>
    <w:rsid w:val="00696729"/>
    <w:rsid w:val="006A6358"/>
    <w:rsid w:val="006B05C4"/>
    <w:rsid w:val="006B1ABE"/>
    <w:rsid w:val="006C5E6A"/>
    <w:rsid w:val="006C6994"/>
    <w:rsid w:val="006D3148"/>
    <w:rsid w:val="006E2069"/>
    <w:rsid w:val="006E5370"/>
    <w:rsid w:val="006F10F5"/>
    <w:rsid w:val="006F352B"/>
    <w:rsid w:val="00703972"/>
    <w:rsid w:val="00705345"/>
    <w:rsid w:val="007060E3"/>
    <w:rsid w:val="00713468"/>
    <w:rsid w:val="00714124"/>
    <w:rsid w:val="00715659"/>
    <w:rsid w:val="00715C5C"/>
    <w:rsid w:val="00720142"/>
    <w:rsid w:val="00723346"/>
    <w:rsid w:val="00725E77"/>
    <w:rsid w:val="0072626F"/>
    <w:rsid w:val="00745D42"/>
    <w:rsid w:val="00755AE9"/>
    <w:rsid w:val="007615F0"/>
    <w:rsid w:val="00762856"/>
    <w:rsid w:val="00770093"/>
    <w:rsid w:val="00777615"/>
    <w:rsid w:val="007801D3"/>
    <w:rsid w:val="007815AE"/>
    <w:rsid w:val="007825BB"/>
    <w:rsid w:val="0079495C"/>
    <w:rsid w:val="007A42D2"/>
    <w:rsid w:val="007B7FEB"/>
    <w:rsid w:val="007D29D7"/>
    <w:rsid w:val="007D395A"/>
    <w:rsid w:val="007E06B8"/>
    <w:rsid w:val="007E2153"/>
    <w:rsid w:val="007E2B50"/>
    <w:rsid w:val="007E6AC4"/>
    <w:rsid w:val="007E78FA"/>
    <w:rsid w:val="007F04C8"/>
    <w:rsid w:val="007F1C22"/>
    <w:rsid w:val="007F1FBC"/>
    <w:rsid w:val="007F33EB"/>
    <w:rsid w:val="007F4106"/>
    <w:rsid w:val="007F4FCB"/>
    <w:rsid w:val="00801D04"/>
    <w:rsid w:val="0081237F"/>
    <w:rsid w:val="00812AF9"/>
    <w:rsid w:val="008138BF"/>
    <w:rsid w:val="00816F45"/>
    <w:rsid w:val="008248F4"/>
    <w:rsid w:val="00826B22"/>
    <w:rsid w:val="00826D6C"/>
    <w:rsid w:val="00827E1A"/>
    <w:rsid w:val="00835254"/>
    <w:rsid w:val="00844E91"/>
    <w:rsid w:val="00852A04"/>
    <w:rsid w:val="0085654B"/>
    <w:rsid w:val="00860AE5"/>
    <w:rsid w:val="00862AE3"/>
    <w:rsid w:val="00863777"/>
    <w:rsid w:val="00867837"/>
    <w:rsid w:val="00875CE2"/>
    <w:rsid w:val="00881246"/>
    <w:rsid w:val="0088153E"/>
    <w:rsid w:val="00881C44"/>
    <w:rsid w:val="00882604"/>
    <w:rsid w:val="008906A9"/>
    <w:rsid w:val="008915D3"/>
    <w:rsid w:val="00895024"/>
    <w:rsid w:val="008A4239"/>
    <w:rsid w:val="008A64AC"/>
    <w:rsid w:val="008B2CCC"/>
    <w:rsid w:val="008B5890"/>
    <w:rsid w:val="008C0EA7"/>
    <w:rsid w:val="008C6BC6"/>
    <w:rsid w:val="008D1CBE"/>
    <w:rsid w:val="008D4B11"/>
    <w:rsid w:val="008E3C82"/>
    <w:rsid w:val="008E6B12"/>
    <w:rsid w:val="008F5971"/>
    <w:rsid w:val="008F6B2F"/>
    <w:rsid w:val="008F7737"/>
    <w:rsid w:val="00900266"/>
    <w:rsid w:val="009004F4"/>
    <w:rsid w:val="00901775"/>
    <w:rsid w:val="0090343C"/>
    <w:rsid w:val="009133BD"/>
    <w:rsid w:val="009138B8"/>
    <w:rsid w:val="00923947"/>
    <w:rsid w:val="0092619D"/>
    <w:rsid w:val="00930C12"/>
    <w:rsid w:val="0093559E"/>
    <w:rsid w:val="009452A4"/>
    <w:rsid w:val="0094586D"/>
    <w:rsid w:val="00953962"/>
    <w:rsid w:val="00955380"/>
    <w:rsid w:val="00971244"/>
    <w:rsid w:val="009800A4"/>
    <w:rsid w:val="00984938"/>
    <w:rsid w:val="009867AD"/>
    <w:rsid w:val="00991D2D"/>
    <w:rsid w:val="009921B3"/>
    <w:rsid w:val="00996AF4"/>
    <w:rsid w:val="009A04ED"/>
    <w:rsid w:val="009A26FE"/>
    <w:rsid w:val="009A34DE"/>
    <w:rsid w:val="009A5E99"/>
    <w:rsid w:val="009A6FF0"/>
    <w:rsid w:val="009B1DB6"/>
    <w:rsid w:val="009B54B1"/>
    <w:rsid w:val="009B5B46"/>
    <w:rsid w:val="009C1521"/>
    <w:rsid w:val="009C1A85"/>
    <w:rsid w:val="009C63C4"/>
    <w:rsid w:val="009C7061"/>
    <w:rsid w:val="009D0162"/>
    <w:rsid w:val="009D05B0"/>
    <w:rsid w:val="009D0E74"/>
    <w:rsid w:val="009E54BA"/>
    <w:rsid w:val="009F1225"/>
    <w:rsid w:val="009F4BD6"/>
    <w:rsid w:val="009F4ED6"/>
    <w:rsid w:val="009F7664"/>
    <w:rsid w:val="00A02459"/>
    <w:rsid w:val="00A03D15"/>
    <w:rsid w:val="00A051E4"/>
    <w:rsid w:val="00A06319"/>
    <w:rsid w:val="00A06C14"/>
    <w:rsid w:val="00A17ED4"/>
    <w:rsid w:val="00A314FC"/>
    <w:rsid w:val="00A33C6B"/>
    <w:rsid w:val="00A34D01"/>
    <w:rsid w:val="00A3561D"/>
    <w:rsid w:val="00A36FEF"/>
    <w:rsid w:val="00A376EC"/>
    <w:rsid w:val="00A3782B"/>
    <w:rsid w:val="00A41CDF"/>
    <w:rsid w:val="00A435FB"/>
    <w:rsid w:val="00A4653C"/>
    <w:rsid w:val="00A47A67"/>
    <w:rsid w:val="00A5030A"/>
    <w:rsid w:val="00A52802"/>
    <w:rsid w:val="00A53421"/>
    <w:rsid w:val="00A570BF"/>
    <w:rsid w:val="00A64C68"/>
    <w:rsid w:val="00A660DA"/>
    <w:rsid w:val="00A66E31"/>
    <w:rsid w:val="00A8055A"/>
    <w:rsid w:val="00A8082B"/>
    <w:rsid w:val="00A855DA"/>
    <w:rsid w:val="00A85EA9"/>
    <w:rsid w:val="00A863D6"/>
    <w:rsid w:val="00A86CC2"/>
    <w:rsid w:val="00A9692B"/>
    <w:rsid w:val="00A96981"/>
    <w:rsid w:val="00AB2E5F"/>
    <w:rsid w:val="00AB46BF"/>
    <w:rsid w:val="00AB4F71"/>
    <w:rsid w:val="00AB77FB"/>
    <w:rsid w:val="00AC04F4"/>
    <w:rsid w:val="00AC4B93"/>
    <w:rsid w:val="00AC7F7A"/>
    <w:rsid w:val="00AE73C1"/>
    <w:rsid w:val="00AE781E"/>
    <w:rsid w:val="00AF0490"/>
    <w:rsid w:val="00AF4C23"/>
    <w:rsid w:val="00B00FE5"/>
    <w:rsid w:val="00B02A98"/>
    <w:rsid w:val="00B061D9"/>
    <w:rsid w:val="00B07A30"/>
    <w:rsid w:val="00B13CF2"/>
    <w:rsid w:val="00B20E18"/>
    <w:rsid w:val="00B22127"/>
    <w:rsid w:val="00B241BA"/>
    <w:rsid w:val="00B2693A"/>
    <w:rsid w:val="00B3318E"/>
    <w:rsid w:val="00B3646A"/>
    <w:rsid w:val="00B428C8"/>
    <w:rsid w:val="00B45E44"/>
    <w:rsid w:val="00B478ED"/>
    <w:rsid w:val="00B539CC"/>
    <w:rsid w:val="00B53C37"/>
    <w:rsid w:val="00B554E4"/>
    <w:rsid w:val="00B713FC"/>
    <w:rsid w:val="00B719F1"/>
    <w:rsid w:val="00B720D2"/>
    <w:rsid w:val="00B7461A"/>
    <w:rsid w:val="00B7507A"/>
    <w:rsid w:val="00B8058A"/>
    <w:rsid w:val="00B80D75"/>
    <w:rsid w:val="00B83B98"/>
    <w:rsid w:val="00B83CDC"/>
    <w:rsid w:val="00B92CEA"/>
    <w:rsid w:val="00B96586"/>
    <w:rsid w:val="00BA1B09"/>
    <w:rsid w:val="00BA211E"/>
    <w:rsid w:val="00BA32A7"/>
    <w:rsid w:val="00BA60F1"/>
    <w:rsid w:val="00BA78D6"/>
    <w:rsid w:val="00BA7A9F"/>
    <w:rsid w:val="00BB13DB"/>
    <w:rsid w:val="00BB29B5"/>
    <w:rsid w:val="00BB2C4E"/>
    <w:rsid w:val="00BB3915"/>
    <w:rsid w:val="00BB4DCF"/>
    <w:rsid w:val="00BB7833"/>
    <w:rsid w:val="00BD0EED"/>
    <w:rsid w:val="00BD2AE9"/>
    <w:rsid w:val="00BE07A3"/>
    <w:rsid w:val="00BE0AF5"/>
    <w:rsid w:val="00BE15C7"/>
    <w:rsid w:val="00BE49BD"/>
    <w:rsid w:val="00BF2052"/>
    <w:rsid w:val="00BF30CF"/>
    <w:rsid w:val="00C0000E"/>
    <w:rsid w:val="00C04BF2"/>
    <w:rsid w:val="00C06E4F"/>
    <w:rsid w:val="00C24089"/>
    <w:rsid w:val="00C24D11"/>
    <w:rsid w:val="00C26028"/>
    <w:rsid w:val="00C31092"/>
    <w:rsid w:val="00C33DFA"/>
    <w:rsid w:val="00C33E2F"/>
    <w:rsid w:val="00C34CB1"/>
    <w:rsid w:val="00C367C0"/>
    <w:rsid w:val="00C4029B"/>
    <w:rsid w:val="00C41497"/>
    <w:rsid w:val="00C463A2"/>
    <w:rsid w:val="00C506A9"/>
    <w:rsid w:val="00C50F99"/>
    <w:rsid w:val="00C516F7"/>
    <w:rsid w:val="00C57499"/>
    <w:rsid w:val="00C62E13"/>
    <w:rsid w:val="00C67B9D"/>
    <w:rsid w:val="00C70754"/>
    <w:rsid w:val="00C77752"/>
    <w:rsid w:val="00C85F72"/>
    <w:rsid w:val="00C86E55"/>
    <w:rsid w:val="00C9272E"/>
    <w:rsid w:val="00C92CEA"/>
    <w:rsid w:val="00C95527"/>
    <w:rsid w:val="00CA0DE7"/>
    <w:rsid w:val="00CA378D"/>
    <w:rsid w:val="00CA603B"/>
    <w:rsid w:val="00CB26A6"/>
    <w:rsid w:val="00CB325D"/>
    <w:rsid w:val="00CC2D11"/>
    <w:rsid w:val="00CC3A49"/>
    <w:rsid w:val="00CC4508"/>
    <w:rsid w:val="00CD0F4F"/>
    <w:rsid w:val="00CD11BB"/>
    <w:rsid w:val="00CD4F91"/>
    <w:rsid w:val="00CD6044"/>
    <w:rsid w:val="00CD79A9"/>
    <w:rsid w:val="00CE0C2B"/>
    <w:rsid w:val="00CE1B4D"/>
    <w:rsid w:val="00CE1CD4"/>
    <w:rsid w:val="00CE49B5"/>
    <w:rsid w:val="00CF3C3E"/>
    <w:rsid w:val="00CF6CFA"/>
    <w:rsid w:val="00D04E91"/>
    <w:rsid w:val="00D04F41"/>
    <w:rsid w:val="00D05DDE"/>
    <w:rsid w:val="00D10D6C"/>
    <w:rsid w:val="00D113F5"/>
    <w:rsid w:val="00D11B33"/>
    <w:rsid w:val="00D13698"/>
    <w:rsid w:val="00D156AC"/>
    <w:rsid w:val="00D207A2"/>
    <w:rsid w:val="00D21C77"/>
    <w:rsid w:val="00D25B44"/>
    <w:rsid w:val="00D27156"/>
    <w:rsid w:val="00D35905"/>
    <w:rsid w:val="00D35D8D"/>
    <w:rsid w:val="00D4112B"/>
    <w:rsid w:val="00D44CB7"/>
    <w:rsid w:val="00D52724"/>
    <w:rsid w:val="00D6300E"/>
    <w:rsid w:val="00D650C7"/>
    <w:rsid w:val="00D72EB1"/>
    <w:rsid w:val="00D77605"/>
    <w:rsid w:val="00D80A20"/>
    <w:rsid w:val="00D84144"/>
    <w:rsid w:val="00D85BED"/>
    <w:rsid w:val="00D92008"/>
    <w:rsid w:val="00D92FB2"/>
    <w:rsid w:val="00D933F4"/>
    <w:rsid w:val="00DA4E7E"/>
    <w:rsid w:val="00DA5E89"/>
    <w:rsid w:val="00DA63A5"/>
    <w:rsid w:val="00DA79DF"/>
    <w:rsid w:val="00DB5B72"/>
    <w:rsid w:val="00DC2C59"/>
    <w:rsid w:val="00DC3238"/>
    <w:rsid w:val="00DC37E1"/>
    <w:rsid w:val="00DD41E2"/>
    <w:rsid w:val="00DE22AA"/>
    <w:rsid w:val="00DF12DD"/>
    <w:rsid w:val="00DF4693"/>
    <w:rsid w:val="00E05853"/>
    <w:rsid w:val="00E05EB2"/>
    <w:rsid w:val="00E064AB"/>
    <w:rsid w:val="00E07821"/>
    <w:rsid w:val="00E07DEC"/>
    <w:rsid w:val="00E10455"/>
    <w:rsid w:val="00E104EF"/>
    <w:rsid w:val="00E1324C"/>
    <w:rsid w:val="00E22847"/>
    <w:rsid w:val="00E23DDF"/>
    <w:rsid w:val="00E24007"/>
    <w:rsid w:val="00E26F4D"/>
    <w:rsid w:val="00E31BD3"/>
    <w:rsid w:val="00E36992"/>
    <w:rsid w:val="00E43301"/>
    <w:rsid w:val="00E435DB"/>
    <w:rsid w:val="00E47573"/>
    <w:rsid w:val="00E47F44"/>
    <w:rsid w:val="00E50CEE"/>
    <w:rsid w:val="00E51B2A"/>
    <w:rsid w:val="00E53C2F"/>
    <w:rsid w:val="00E53CB4"/>
    <w:rsid w:val="00E55844"/>
    <w:rsid w:val="00E57C29"/>
    <w:rsid w:val="00E60048"/>
    <w:rsid w:val="00E601E3"/>
    <w:rsid w:val="00E62FBC"/>
    <w:rsid w:val="00E666AD"/>
    <w:rsid w:val="00E73781"/>
    <w:rsid w:val="00E80566"/>
    <w:rsid w:val="00E83242"/>
    <w:rsid w:val="00E85555"/>
    <w:rsid w:val="00E90A09"/>
    <w:rsid w:val="00E912CC"/>
    <w:rsid w:val="00E95825"/>
    <w:rsid w:val="00E97ED1"/>
    <w:rsid w:val="00EA0237"/>
    <w:rsid w:val="00EA46BA"/>
    <w:rsid w:val="00EA49E6"/>
    <w:rsid w:val="00EA4BCA"/>
    <w:rsid w:val="00EA5E6E"/>
    <w:rsid w:val="00EB51BA"/>
    <w:rsid w:val="00EC143B"/>
    <w:rsid w:val="00EC24FC"/>
    <w:rsid w:val="00EC3BEA"/>
    <w:rsid w:val="00ED338C"/>
    <w:rsid w:val="00ED5B1F"/>
    <w:rsid w:val="00ED6543"/>
    <w:rsid w:val="00EE15E6"/>
    <w:rsid w:val="00EE21D6"/>
    <w:rsid w:val="00EE2ABC"/>
    <w:rsid w:val="00F02722"/>
    <w:rsid w:val="00F03AA2"/>
    <w:rsid w:val="00F05111"/>
    <w:rsid w:val="00F05BA0"/>
    <w:rsid w:val="00F11F69"/>
    <w:rsid w:val="00F165AD"/>
    <w:rsid w:val="00F16F8A"/>
    <w:rsid w:val="00F17006"/>
    <w:rsid w:val="00F217C7"/>
    <w:rsid w:val="00F241EF"/>
    <w:rsid w:val="00F2495C"/>
    <w:rsid w:val="00F25CCC"/>
    <w:rsid w:val="00F37C0A"/>
    <w:rsid w:val="00F46A10"/>
    <w:rsid w:val="00F46CCA"/>
    <w:rsid w:val="00F53F08"/>
    <w:rsid w:val="00F57A96"/>
    <w:rsid w:val="00F6224E"/>
    <w:rsid w:val="00F6267A"/>
    <w:rsid w:val="00F62C5E"/>
    <w:rsid w:val="00F63C3D"/>
    <w:rsid w:val="00F815A8"/>
    <w:rsid w:val="00F83A49"/>
    <w:rsid w:val="00F84D6B"/>
    <w:rsid w:val="00F85517"/>
    <w:rsid w:val="00F8768C"/>
    <w:rsid w:val="00F9195D"/>
    <w:rsid w:val="00FB0A96"/>
    <w:rsid w:val="00FB0D6B"/>
    <w:rsid w:val="00FC4C86"/>
    <w:rsid w:val="00FC7B74"/>
    <w:rsid w:val="00FD4485"/>
    <w:rsid w:val="00FD4EC0"/>
    <w:rsid w:val="00FD7A52"/>
    <w:rsid w:val="00FF10B8"/>
    <w:rsid w:val="00FF31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28E2C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AB2E5F"/>
    <w:rPr>
      <w:sz w:val="24"/>
      <w:szCs w:val="24"/>
    </w:rPr>
  </w:style>
  <w:style w:type="paragraph" w:styleId="Nadpis1">
    <w:name w:val="heading 1"/>
    <w:basedOn w:val="Normln"/>
    <w:next w:val="Normln"/>
    <w:qFormat/>
    <w:pPr>
      <w:keepNext/>
      <w:jc w:val="center"/>
      <w:outlineLvl w:val="0"/>
    </w:pPr>
    <w:rPr>
      <w:b/>
      <w:sz w:val="40"/>
      <w:szCs w:val="20"/>
    </w:rPr>
  </w:style>
  <w:style w:type="paragraph" w:styleId="Nadpis2">
    <w:name w:val="heading 2"/>
    <w:basedOn w:val="Normln"/>
    <w:next w:val="Normln"/>
    <w:qFormat/>
    <w:pPr>
      <w:keepNext/>
      <w:spacing w:before="120" w:line="360" w:lineRule="auto"/>
      <w:ind w:left="360"/>
      <w:jc w:val="center"/>
      <w:outlineLvl w:val="1"/>
    </w:pPr>
    <w:rPr>
      <w:b/>
      <w:i/>
      <w:sz w:val="32"/>
      <w:szCs w:val="32"/>
    </w:rPr>
  </w:style>
  <w:style w:type="paragraph" w:styleId="Nadpis3">
    <w:name w:val="heading 3"/>
    <w:basedOn w:val="Normln"/>
    <w:next w:val="Normln"/>
    <w:qFormat/>
    <w:pPr>
      <w:keepNext/>
      <w:jc w:val="center"/>
      <w:outlineLvl w:val="2"/>
    </w:pPr>
    <w:rPr>
      <w:b/>
      <w:i/>
      <w:sz w:val="72"/>
      <w:szCs w:val="20"/>
    </w:rPr>
  </w:style>
  <w:style w:type="paragraph" w:styleId="Nadpis4">
    <w:name w:val="heading 4"/>
    <w:basedOn w:val="Normln"/>
    <w:next w:val="Normln"/>
    <w:qFormat/>
    <w:pPr>
      <w:keepNext/>
      <w:jc w:val="center"/>
      <w:outlineLvl w:val="3"/>
    </w:pPr>
    <w:rPr>
      <w:b/>
      <w:szCs w:val="20"/>
    </w:rPr>
  </w:style>
  <w:style w:type="paragraph" w:styleId="Nadpis5">
    <w:name w:val="heading 5"/>
    <w:basedOn w:val="Normln"/>
    <w:next w:val="Normln"/>
    <w:qFormat/>
    <w:pPr>
      <w:keepNext/>
      <w:spacing w:before="120"/>
      <w:jc w:val="both"/>
      <w:outlineLvl w:val="4"/>
    </w:pPr>
    <w:rPr>
      <w:bCs/>
      <w:i/>
      <w:sz w:val="28"/>
      <w:szCs w:val="28"/>
    </w:rPr>
  </w:style>
  <w:style w:type="paragraph" w:styleId="Nadpis6">
    <w:name w:val="heading 6"/>
    <w:basedOn w:val="Normln"/>
    <w:next w:val="Normln"/>
    <w:qFormat/>
    <w:pPr>
      <w:keepNext/>
      <w:spacing w:before="120"/>
      <w:jc w:val="both"/>
      <w:outlineLvl w:val="5"/>
    </w:pPr>
    <w:rPr>
      <w:b/>
      <w:i/>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pPr>
      <w:jc w:val="center"/>
    </w:pPr>
    <w:rPr>
      <w:b/>
      <w:sz w:val="28"/>
    </w:rPr>
  </w:style>
  <w:style w:type="paragraph" w:styleId="Nzev">
    <w:name w:val="Title"/>
    <w:basedOn w:val="Normln"/>
    <w:qFormat/>
    <w:pPr>
      <w:jc w:val="center"/>
    </w:pPr>
    <w:rPr>
      <w:b/>
      <w:sz w:val="28"/>
      <w:szCs w:val="20"/>
    </w:rPr>
  </w:style>
  <w:style w:type="paragraph" w:styleId="Zkladntext">
    <w:name w:val="Body Text"/>
    <w:basedOn w:val="Normln"/>
    <w:link w:val="ZkladntextChar"/>
    <w:pPr>
      <w:jc w:val="both"/>
    </w:pPr>
    <w:rPr>
      <w:i/>
      <w:sz w:val="28"/>
      <w:szCs w:val="20"/>
      <w:lang w:val="x-none" w:eastAsia="x-none"/>
    </w:rPr>
  </w:style>
  <w:style w:type="paragraph" w:styleId="Textbubliny">
    <w:name w:val="Balloon Text"/>
    <w:basedOn w:val="Normln"/>
    <w:semiHidden/>
    <w:rPr>
      <w:rFonts w:ascii="Tahoma" w:hAnsi="Tahoma" w:cs="Tahoma"/>
      <w:sz w:val="16"/>
      <w:szCs w:val="16"/>
    </w:rPr>
  </w:style>
  <w:style w:type="paragraph" w:styleId="Zkladntext3">
    <w:name w:val="Body Text 3"/>
    <w:basedOn w:val="Normln"/>
    <w:link w:val="Zkladntext3Char"/>
    <w:pPr>
      <w:spacing w:line="288" w:lineRule="auto"/>
      <w:jc w:val="center"/>
    </w:pPr>
    <w:rPr>
      <w:b/>
      <w:i/>
      <w:iCs/>
      <w:sz w:val="28"/>
      <w:szCs w:val="28"/>
      <w:lang w:val="x-none" w:eastAsia="x-none"/>
    </w:rPr>
  </w:style>
  <w:style w:type="paragraph" w:styleId="Zkladntextodsazen2">
    <w:name w:val="Body Text Indent 2"/>
    <w:basedOn w:val="Normln"/>
    <w:link w:val="Zkladntextodsazen2Char"/>
    <w:pPr>
      <w:spacing w:after="120" w:line="480" w:lineRule="auto"/>
      <w:ind w:left="283"/>
    </w:pPr>
    <w:rPr>
      <w:lang w:val="x-none" w:eastAsia="x-none"/>
    </w:rPr>
  </w:style>
  <w:style w:type="paragraph" w:styleId="Textpoznpodarou">
    <w:name w:val="footnote text"/>
    <w:basedOn w:val="Normln"/>
    <w:semiHidden/>
    <w:rPr>
      <w:sz w:val="20"/>
      <w:szCs w:val="20"/>
    </w:rPr>
  </w:style>
  <w:style w:type="character" w:styleId="Znakapoznpodarou">
    <w:name w:val="footnote reference"/>
    <w:semiHidden/>
    <w:rPr>
      <w:vertAlign w:val="superscript"/>
    </w:rPr>
  </w:style>
  <w:style w:type="paragraph" w:customStyle="1" w:styleId="Otzka">
    <w:name w:val="Otázka"/>
    <w:basedOn w:val="Prosttext"/>
    <w:pPr>
      <w:jc w:val="both"/>
    </w:pPr>
    <w:rPr>
      <w:rFonts w:ascii="Times New Roman" w:hAnsi="Times New Roman" w:cs="Times New Roman"/>
      <w:b/>
      <w:sz w:val="26"/>
    </w:rPr>
  </w:style>
  <w:style w:type="paragraph" w:styleId="Prosttext">
    <w:name w:val="Plain Text"/>
    <w:basedOn w:val="Normln"/>
    <w:link w:val="ProsttextChar"/>
    <w:rPr>
      <w:rFonts w:ascii="Courier New" w:hAnsi="Courier New" w:cs="Courier New"/>
      <w:sz w:val="20"/>
      <w:szCs w:val="20"/>
    </w:rPr>
  </w:style>
  <w:style w:type="paragraph" w:styleId="Rozloendokumentu">
    <w:name w:val="Document Map"/>
    <w:basedOn w:val="Normln"/>
    <w:semiHidden/>
    <w:pPr>
      <w:shd w:val="clear" w:color="auto" w:fill="000080"/>
    </w:pPr>
    <w:rPr>
      <w:rFonts w:ascii="Tahoma" w:hAnsi="Tahoma" w:cs="Tahoma"/>
      <w:sz w:val="20"/>
      <w:szCs w:val="20"/>
    </w:rPr>
  </w:style>
  <w:style w:type="paragraph" w:styleId="Zhlav">
    <w:name w:val="header"/>
    <w:basedOn w:val="Normln"/>
    <w:pPr>
      <w:tabs>
        <w:tab w:val="center" w:pos="4536"/>
        <w:tab w:val="right" w:pos="9072"/>
      </w:tabs>
    </w:pPr>
  </w:style>
  <w:style w:type="paragraph" w:styleId="Zkladntextodsazen">
    <w:name w:val="Body Text Indent"/>
    <w:basedOn w:val="Normln"/>
    <w:pPr>
      <w:spacing w:after="120"/>
      <w:ind w:left="283"/>
    </w:pPr>
  </w:style>
  <w:style w:type="paragraph" w:customStyle="1" w:styleId="CharCharCharCharCharCharCharCharCharCharChar1Char">
    <w:name w:val="Char Char Char Char Char Char Char Char Char Char Char1 Char"/>
    <w:basedOn w:val="Normln"/>
    <w:pPr>
      <w:widowControl w:val="0"/>
      <w:adjustRightInd w:val="0"/>
      <w:spacing w:after="160" w:line="240" w:lineRule="exact"/>
      <w:jc w:val="both"/>
      <w:textAlignment w:val="baseline"/>
    </w:pPr>
    <w:rPr>
      <w:rFonts w:ascii="Tahoma" w:hAnsi="Tahoma"/>
      <w:sz w:val="20"/>
      <w:szCs w:val="20"/>
      <w:lang w:val="en-US" w:eastAsia="en-US"/>
    </w:rPr>
  </w:style>
  <w:style w:type="character" w:customStyle="1" w:styleId="CharChar1">
    <w:name w:val="Char Char1"/>
    <w:rPr>
      <w:rFonts w:ascii="Courier New" w:hAnsi="Courier New" w:cs="Courier New"/>
      <w:lang w:val="cs-CZ" w:eastAsia="cs-CZ" w:bidi="ar-SA"/>
    </w:rPr>
  </w:style>
  <w:style w:type="paragraph" w:styleId="Odstavecseseznamem">
    <w:name w:val="List Paragraph"/>
    <w:basedOn w:val="Normln"/>
    <w:qFormat/>
    <w:pPr>
      <w:ind w:left="720"/>
      <w:contextualSpacing/>
    </w:pPr>
    <w:rPr>
      <w:rFonts w:eastAsia="Calibri"/>
      <w:lang w:eastAsia="zh-CN"/>
    </w:rPr>
  </w:style>
  <w:style w:type="character" w:customStyle="1" w:styleId="CharChar4">
    <w:name w:val="Char Char4"/>
    <w:rPr>
      <w:rFonts w:ascii="Courier New" w:hAnsi="Courier New"/>
      <w:lang w:val="en-US" w:eastAsia="cs-CZ" w:bidi="ar-SA"/>
    </w:rPr>
  </w:style>
  <w:style w:type="paragraph" w:styleId="Zkladntextodsazen3">
    <w:name w:val="Body Text Indent 3"/>
    <w:basedOn w:val="Normln"/>
    <w:pPr>
      <w:spacing w:after="240"/>
      <w:ind w:left="360"/>
      <w:jc w:val="both"/>
    </w:pPr>
    <w:rPr>
      <w:b/>
      <w:i/>
      <w:iCs/>
      <w:sz w:val="26"/>
      <w:szCs w:val="26"/>
    </w:rPr>
  </w:style>
  <w:style w:type="character" w:customStyle="1" w:styleId="ProsttextChar">
    <w:name w:val="Prostý text Char"/>
    <w:link w:val="Prosttext"/>
    <w:rsid w:val="00C367C0"/>
    <w:rPr>
      <w:rFonts w:ascii="Courier New" w:hAnsi="Courier New" w:cs="Courier New"/>
      <w:lang w:val="cs-CZ" w:eastAsia="cs-CZ" w:bidi="ar-SA"/>
    </w:rPr>
  </w:style>
  <w:style w:type="character" w:customStyle="1" w:styleId="Zkladntextodsazen2Char">
    <w:name w:val="Základní text odsazený 2 Char"/>
    <w:link w:val="Zkladntextodsazen2"/>
    <w:rsid w:val="00723346"/>
    <w:rPr>
      <w:sz w:val="24"/>
      <w:szCs w:val="24"/>
    </w:rPr>
  </w:style>
  <w:style w:type="paragraph" w:customStyle="1" w:styleId="Pramen">
    <w:name w:val="Pramen"/>
    <w:basedOn w:val="Nadpis1"/>
    <w:rsid w:val="00723346"/>
    <w:pPr>
      <w:keepNext w:val="0"/>
    </w:pPr>
    <w:rPr>
      <w:b w:val="0"/>
      <w:sz w:val="20"/>
    </w:rPr>
  </w:style>
  <w:style w:type="character" w:customStyle="1" w:styleId="Zkladntext3Char">
    <w:name w:val="Základní text 3 Char"/>
    <w:link w:val="Zkladntext3"/>
    <w:rsid w:val="007F33EB"/>
    <w:rPr>
      <w:b/>
      <w:i/>
      <w:iCs/>
      <w:sz w:val="28"/>
      <w:szCs w:val="28"/>
    </w:rPr>
  </w:style>
  <w:style w:type="character" w:customStyle="1" w:styleId="ZkladntextChar">
    <w:name w:val="Základní text Char"/>
    <w:link w:val="Zkladntext"/>
    <w:rsid w:val="009A04ED"/>
    <w:rPr>
      <w:i/>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AB2E5F"/>
    <w:rPr>
      <w:sz w:val="24"/>
      <w:szCs w:val="24"/>
    </w:rPr>
  </w:style>
  <w:style w:type="paragraph" w:styleId="Nadpis1">
    <w:name w:val="heading 1"/>
    <w:basedOn w:val="Normln"/>
    <w:next w:val="Normln"/>
    <w:qFormat/>
    <w:pPr>
      <w:keepNext/>
      <w:jc w:val="center"/>
      <w:outlineLvl w:val="0"/>
    </w:pPr>
    <w:rPr>
      <w:b/>
      <w:sz w:val="40"/>
      <w:szCs w:val="20"/>
    </w:rPr>
  </w:style>
  <w:style w:type="paragraph" w:styleId="Nadpis2">
    <w:name w:val="heading 2"/>
    <w:basedOn w:val="Normln"/>
    <w:next w:val="Normln"/>
    <w:qFormat/>
    <w:pPr>
      <w:keepNext/>
      <w:spacing w:before="120" w:line="360" w:lineRule="auto"/>
      <w:ind w:left="360"/>
      <w:jc w:val="center"/>
      <w:outlineLvl w:val="1"/>
    </w:pPr>
    <w:rPr>
      <w:b/>
      <w:i/>
      <w:sz w:val="32"/>
      <w:szCs w:val="32"/>
    </w:rPr>
  </w:style>
  <w:style w:type="paragraph" w:styleId="Nadpis3">
    <w:name w:val="heading 3"/>
    <w:basedOn w:val="Normln"/>
    <w:next w:val="Normln"/>
    <w:qFormat/>
    <w:pPr>
      <w:keepNext/>
      <w:jc w:val="center"/>
      <w:outlineLvl w:val="2"/>
    </w:pPr>
    <w:rPr>
      <w:b/>
      <w:i/>
      <w:sz w:val="72"/>
      <w:szCs w:val="20"/>
    </w:rPr>
  </w:style>
  <w:style w:type="paragraph" w:styleId="Nadpis4">
    <w:name w:val="heading 4"/>
    <w:basedOn w:val="Normln"/>
    <w:next w:val="Normln"/>
    <w:qFormat/>
    <w:pPr>
      <w:keepNext/>
      <w:jc w:val="center"/>
      <w:outlineLvl w:val="3"/>
    </w:pPr>
    <w:rPr>
      <w:b/>
      <w:szCs w:val="20"/>
    </w:rPr>
  </w:style>
  <w:style w:type="paragraph" w:styleId="Nadpis5">
    <w:name w:val="heading 5"/>
    <w:basedOn w:val="Normln"/>
    <w:next w:val="Normln"/>
    <w:qFormat/>
    <w:pPr>
      <w:keepNext/>
      <w:spacing w:before="120"/>
      <w:jc w:val="both"/>
      <w:outlineLvl w:val="4"/>
    </w:pPr>
    <w:rPr>
      <w:bCs/>
      <w:i/>
      <w:sz w:val="28"/>
      <w:szCs w:val="28"/>
    </w:rPr>
  </w:style>
  <w:style w:type="paragraph" w:styleId="Nadpis6">
    <w:name w:val="heading 6"/>
    <w:basedOn w:val="Normln"/>
    <w:next w:val="Normln"/>
    <w:qFormat/>
    <w:pPr>
      <w:keepNext/>
      <w:spacing w:before="120"/>
      <w:jc w:val="both"/>
      <w:outlineLvl w:val="5"/>
    </w:pPr>
    <w:rPr>
      <w:b/>
      <w:i/>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pPr>
      <w:jc w:val="center"/>
    </w:pPr>
    <w:rPr>
      <w:b/>
      <w:sz w:val="28"/>
    </w:rPr>
  </w:style>
  <w:style w:type="paragraph" w:styleId="Nzev">
    <w:name w:val="Title"/>
    <w:basedOn w:val="Normln"/>
    <w:qFormat/>
    <w:pPr>
      <w:jc w:val="center"/>
    </w:pPr>
    <w:rPr>
      <w:b/>
      <w:sz w:val="28"/>
      <w:szCs w:val="20"/>
    </w:rPr>
  </w:style>
  <w:style w:type="paragraph" w:styleId="Zkladntext">
    <w:name w:val="Body Text"/>
    <w:basedOn w:val="Normln"/>
    <w:link w:val="ZkladntextChar"/>
    <w:pPr>
      <w:jc w:val="both"/>
    </w:pPr>
    <w:rPr>
      <w:i/>
      <w:sz w:val="28"/>
      <w:szCs w:val="20"/>
      <w:lang w:val="x-none" w:eastAsia="x-none"/>
    </w:rPr>
  </w:style>
  <w:style w:type="paragraph" w:styleId="Textbubliny">
    <w:name w:val="Balloon Text"/>
    <w:basedOn w:val="Normln"/>
    <w:semiHidden/>
    <w:rPr>
      <w:rFonts w:ascii="Tahoma" w:hAnsi="Tahoma" w:cs="Tahoma"/>
      <w:sz w:val="16"/>
      <w:szCs w:val="16"/>
    </w:rPr>
  </w:style>
  <w:style w:type="paragraph" w:styleId="Zkladntext3">
    <w:name w:val="Body Text 3"/>
    <w:basedOn w:val="Normln"/>
    <w:link w:val="Zkladntext3Char"/>
    <w:pPr>
      <w:spacing w:line="288" w:lineRule="auto"/>
      <w:jc w:val="center"/>
    </w:pPr>
    <w:rPr>
      <w:b/>
      <w:i/>
      <w:iCs/>
      <w:sz w:val="28"/>
      <w:szCs w:val="28"/>
      <w:lang w:val="x-none" w:eastAsia="x-none"/>
    </w:rPr>
  </w:style>
  <w:style w:type="paragraph" w:styleId="Zkladntextodsazen2">
    <w:name w:val="Body Text Indent 2"/>
    <w:basedOn w:val="Normln"/>
    <w:link w:val="Zkladntextodsazen2Char"/>
    <w:pPr>
      <w:spacing w:after="120" w:line="480" w:lineRule="auto"/>
      <w:ind w:left="283"/>
    </w:pPr>
    <w:rPr>
      <w:lang w:val="x-none" w:eastAsia="x-none"/>
    </w:rPr>
  </w:style>
  <w:style w:type="paragraph" w:styleId="Textpoznpodarou">
    <w:name w:val="footnote text"/>
    <w:basedOn w:val="Normln"/>
    <w:semiHidden/>
    <w:rPr>
      <w:sz w:val="20"/>
      <w:szCs w:val="20"/>
    </w:rPr>
  </w:style>
  <w:style w:type="character" w:styleId="Znakapoznpodarou">
    <w:name w:val="footnote reference"/>
    <w:semiHidden/>
    <w:rPr>
      <w:vertAlign w:val="superscript"/>
    </w:rPr>
  </w:style>
  <w:style w:type="paragraph" w:customStyle="1" w:styleId="Otzka">
    <w:name w:val="Otázka"/>
    <w:basedOn w:val="Prosttext"/>
    <w:pPr>
      <w:jc w:val="both"/>
    </w:pPr>
    <w:rPr>
      <w:rFonts w:ascii="Times New Roman" w:hAnsi="Times New Roman" w:cs="Times New Roman"/>
      <w:b/>
      <w:sz w:val="26"/>
    </w:rPr>
  </w:style>
  <w:style w:type="paragraph" w:styleId="Prosttext">
    <w:name w:val="Plain Text"/>
    <w:basedOn w:val="Normln"/>
    <w:link w:val="ProsttextChar"/>
    <w:rPr>
      <w:rFonts w:ascii="Courier New" w:hAnsi="Courier New" w:cs="Courier New"/>
      <w:sz w:val="20"/>
      <w:szCs w:val="20"/>
    </w:rPr>
  </w:style>
  <w:style w:type="paragraph" w:styleId="Rozloendokumentu">
    <w:name w:val="Document Map"/>
    <w:basedOn w:val="Normln"/>
    <w:semiHidden/>
    <w:pPr>
      <w:shd w:val="clear" w:color="auto" w:fill="000080"/>
    </w:pPr>
    <w:rPr>
      <w:rFonts w:ascii="Tahoma" w:hAnsi="Tahoma" w:cs="Tahoma"/>
      <w:sz w:val="20"/>
      <w:szCs w:val="20"/>
    </w:rPr>
  </w:style>
  <w:style w:type="paragraph" w:styleId="Zhlav">
    <w:name w:val="header"/>
    <w:basedOn w:val="Normln"/>
    <w:pPr>
      <w:tabs>
        <w:tab w:val="center" w:pos="4536"/>
        <w:tab w:val="right" w:pos="9072"/>
      </w:tabs>
    </w:pPr>
  </w:style>
  <w:style w:type="paragraph" w:styleId="Zkladntextodsazen">
    <w:name w:val="Body Text Indent"/>
    <w:basedOn w:val="Normln"/>
    <w:pPr>
      <w:spacing w:after="120"/>
      <w:ind w:left="283"/>
    </w:pPr>
  </w:style>
  <w:style w:type="paragraph" w:customStyle="1" w:styleId="CharCharCharCharCharCharCharCharCharCharChar1Char">
    <w:name w:val="Char Char Char Char Char Char Char Char Char Char Char1 Char"/>
    <w:basedOn w:val="Normln"/>
    <w:pPr>
      <w:widowControl w:val="0"/>
      <w:adjustRightInd w:val="0"/>
      <w:spacing w:after="160" w:line="240" w:lineRule="exact"/>
      <w:jc w:val="both"/>
      <w:textAlignment w:val="baseline"/>
    </w:pPr>
    <w:rPr>
      <w:rFonts w:ascii="Tahoma" w:hAnsi="Tahoma"/>
      <w:sz w:val="20"/>
      <w:szCs w:val="20"/>
      <w:lang w:val="en-US" w:eastAsia="en-US"/>
    </w:rPr>
  </w:style>
  <w:style w:type="character" w:customStyle="1" w:styleId="CharChar1">
    <w:name w:val="Char Char1"/>
    <w:rPr>
      <w:rFonts w:ascii="Courier New" w:hAnsi="Courier New" w:cs="Courier New"/>
      <w:lang w:val="cs-CZ" w:eastAsia="cs-CZ" w:bidi="ar-SA"/>
    </w:rPr>
  </w:style>
  <w:style w:type="paragraph" w:styleId="Odstavecseseznamem">
    <w:name w:val="List Paragraph"/>
    <w:basedOn w:val="Normln"/>
    <w:qFormat/>
    <w:pPr>
      <w:ind w:left="720"/>
      <w:contextualSpacing/>
    </w:pPr>
    <w:rPr>
      <w:rFonts w:eastAsia="Calibri"/>
      <w:lang w:eastAsia="zh-CN"/>
    </w:rPr>
  </w:style>
  <w:style w:type="character" w:customStyle="1" w:styleId="CharChar4">
    <w:name w:val="Char Char4"/>
    <w:rPr>
      <w:rFonts w:ascii="Courier New" w:hAnsi="Courier New"/>
      <w:lang w:val="en-US" w:eastAsia="cs-CZ" w:bidi="ar-SA"/>
    </w:rPr>
  </w:style>
  <w:style w:type="paragraph" w:styleId="Zkladntextodsazen3">
    <w:name w:val="Body Text Indent 3"/>
    <w:basedOn w:val="Normln"/>
    <w:pPr>
      <w:spacing w:after="240"/>
      <w:ind w:left="360"/>
      <w:jc w:val="both"/>
    </w:pPr>
    <w:rPr>
      <w:b/>
      <w:i/>
      <w:iCs/>
      <w:sz w:val="26"/>
      <w:szCs w:val="26"/>
    </w:rPr>
  </w:style>
  <w:style w:type="character" w:customStyle="1" w:styleId="ProsttextChar">
    <w:name w:val="Prostý text Char"/>
    <w:link w:val="Prosttext"/>
    <w:rsid w:val="00C367C0"/>
    <w:rPr>
      <w:rFonts w:ascii="Courier New" w:hAnsi="Courier New" w:cs="Courier New"/>
      <w:lang w:val="cs-CZ" w:eastAsia="cs-CZ" w:bidi="ar-SA"/>
    </w:rPr>
  </w:style>
  <w:style w:type="character" w:customStyle="1" w:styleId="Zkladntextodsazen2Char">
    <w:name w:val="Základní text odsazený 2 Char"/>
    <w:link w:val="Zkladntextodsazen2"/>
    <w:rsid w:val="00723346"/>
    <w:rPr>
      <w:sz w:val="24"/>
      <w:szCs w:val="24"/>
    </w:rPr>
  </w:style>
  <w:style w:type="paragraph" w:customStyle="1" w:styleId="Pramen">
    <w:name w:val="Pramen"/>
    <w:basedOn w:val="Nadpis1"/>
    <w:rsid w:val="00723346"/>
    <w:pPr>
      <w:keepNext w:val="0"/>
    </w:pPr>
    <w:rPr>
      <w:b w:val="0"/>
      <w:sz w:val="20"/>
    </w:rPr>
  </w:style>
  <w:style w:type="character" w:customStyle="1" w:styleId="Zkladntext3Char">
    <w:name w:val="Základní text 3 Char"/>
    <w:link w:val="Zkladntext3"/>
    <w:rsid w:val="007F33EB"/>
    <w:rPr>
      <w:b/>
      <w:i/>
      <w:iCs/>
      <w:sz w:val="28"/>
      <w:szCs w:val="28"/>
    </w:rPr>
  </w:style>
  <w:style w:type="character" w:customStyle="1" w:styleId="ZkladntextChar">
    <w:name w:val="Základní text Char"/>
    <w:link w:val="Zkladntext"/>
    <w:rsid w:val="009A04ED"/>
    <w:rPr>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9" Type="http://schemas.openxmlformats.org/officeDocument/2006/relationships/chart" Target="charts/chart29.xml"/><Relationship Id="rId21" Type="http://schemas.openxmlformats.org/officeDocument/2006/relationships/chart" Target="charts/chart11.xml"/><Relationship Id="rId34" Type="http://schemas.openxmlformats.org/officeDocument/2006/relationships/chart" Target="charts/chart24.xml"/><Relationship Id="rId42" Type="http://schemas.openxmlformats.org/officeDocument/2006/relationships/chart" Target="charts/chart32.xml"/><Relationship Id="rId47" Type="http://schemas.openxmlformats.org/officeDocument/2006/relationships/chart" Target="charts/chart37.xml"/><Relationship Id="rId50" Type="http://schemas.openxmlformats.org/officeDocument/2006/relationships/chart" Target="charts/chart40.xml"/><Relationship Id="rId55" Type="http://schemas.openxmlformats.org/officeDocument/2006/relationships/chart" Target="charts/chart45.xml"/><Relationship Id="rId63" Type="http://schemas.openxmlformats.org/officeDocument/2006/relationships/chart" Target="charts/chart53.xml"/><Relationship Id="rId68" Type="http://schemas.openxmlformats.org/officeDocument/2006/relationships/chart" Target="charts/chart58.xm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chart" Target="charts/chart61.xml"/><Relationship Id="rId2" Type="http://schemas.openxmlformats.org/officeDocument/2006/relationships/numbering" Target="numbering.xml"/><Relationship Id="rId16" Type="http://schemas.openxmlformats.org/officeDocument/2006/relationships/chart" Target="charts/chart6.xml"/><Relationship Id="rId29" Type="http://schemas.openxmlformats.org/officeDocument/2006/relationships/chart" Target="charts/chart19.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chart" Target="charts/chart22.xml"/><Relationship Id="rId37" Type="http://schemas.openxmlformats.org/officeDocument/2006/relationships/chart" Target="charts/chart27.xml"/><Relationship Id="rId40" Type="http://schemas.openxmlformats.org/officeDocument/2006/relationships/chart" Target="charts/chart30.xml"/><Relationship Id="rId45" Type="http://schemas.openxmlformats.org/officeDocument/2006/relationships/chart" Target="charts/chart35.xml"/><Relationship Id="rId53" Type="http://schemas.openxmlformats.org/officeDocument/2006/relationships/chart" Target="charts/chart43.xml"/><Relationship Id="rId58" Type="http://schemas.openxmlformats.org/officeDocument/2006/relationships/chart" Target="charts/chart48.xml"/><Relationship Id="rId66" Type="http://schemas.openxmlformats.org/officeDocument/2006/relationships/chart" Target="charts/chart56.xm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chart" Target="charts/chart26.xml"/><Relationship Id="rId49" Type="http://schemas.openxmlformats.org/officeDocument/2006/relationships/chart" Target="charts/chart39.xml"/><Relationship Id="rId57" Type="http://schemas.openxmlformats.org/officeDocument/2006/relationships/chart" Target="charts/chart47.xml"/><Relationship Id="rId61" Type="http://schemas.openxmlformats.org/officeDocument/2006/relationships/chart" Target="charts/chart51.xml"/><Relationship Id="rId10" Type="http://schemas.openxmlformats.org/officeDocument/2006/relationships/oleObject" Target="embeddings/oleObject1.bin"/><Relationship Id="rId19" Type="http://schemas.openxmlformats.org/officeDocument/2006/relationships/chart" Target="charts/chart9.xml"/><Relationship Id="rId31" Type="http://schemas.openxmlformats.org/officeDocument/2006/relationships/chart" Target="charts/chart21.xml"/><Relationship Id="rId44" Type="http://schemas.openxmlformats.org/officeDocument/2006/relationships/chart" Target="charts/chart34.xml"/><Relationship Id="rId52" Type="http://schemas.openxmlformats.org/officeDocument/2006/relationships/chart" Target="charts/chart42.xml"/><Relationship Id="rId60" Type="http://schemas.openxmlformats.org/officeDocument/2006/relationships/chart" Target="charts/chart50.xml"/><Relationship Id="rId65" Type="http://schemas.openxmlformats.org/officeDocument/2006/relationships/chart" Target="charts/chart55.xml"/><Relationship Id="rId73" Type="http://schemas.openxmlformats.org/officeDocument/2006/relationships/chart" Target="charts/chart6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chart" Target="charts/chart25.xml"/><Relationship Id="rId43" Type="http://schemas.openxmlformats.org/officeDocument/2006/relationships/chart" Target="charts/chart33.xml"/><Relationship Id="rId48" Type="http://schemas.openxmlformats.org/officeDocument/2006/relationships/chart" Target="charts/chart38.xml"/><Relationship Id="rId56" Type="http://schemas.openxmlformats.org/officeDocument/2006/relationships/chart" Target="charts/chart46.xml"/><Relationship Id="rId64" Type="http://schemas.openxmlformats.org/officeDocument/2006/relationships/chart" Target="charts/chart54.xml"/><Relationship Id="rId69" Type="http://schemas.openxmlformats.org/officeDocument/2006/relationships/chart" Target="charts/chart59.xm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chart" Target="charts/chart41.xml"/><Relationship Id="rId72" Type="http://schemas.openxmlformats.org/officeDocument/2006/relationships/chart" Target="charts/chart62.xml"/><Relationship Id="rId3" Type="http://schemas.openxmlformats.org/officeDocument/2006/relationships/styles" Target="styl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38" Type="http://schemas.openxmlformats.org/officeDocument/2006/relationships/chart" Target="charts/chart28.xml"/><Relationship Id="rId46" Type="http://schemas.openxmlformats.org/officeDocument/2006/relationships/chart" Target="charts/chart36.xml"/><Relationship Id="rId59" Type="http://schemas.openxmlformats.org/officeDocument/2006/relationships/chart" Target="charts/chart49.xml"/><Relationship Id="rId67" Type="http://schemas.openxmlformats.org/officeDocument/2006/relationships/chart" Target="charts/chart57.xml"/><Relationship Id="rId20" Type="http://schemas.openxmlformats.org/officeDocument/2006/relationships/chart" Target="charts/chart10.xml"/><Relationship Id="rId41" Type="http://schemas.openxmlformats.org/officeDocument/2006/relationships/chart" Target="charts/chart31.xml"/><Relationship Id="rId54" Type="http://schemas.openxmlformats.org/officeDocument/2006/relationships/chart" Target="charts/chart44.xml"/><Relationship Id="rId62" Type="http://schemas.openxmlformats.org/officeDocument/2006/relationships/chart" Target="charts/chart52.xml"/><Relationship Id="rId70" Type="http://schemas.openxmlformats.org/officeDocument/2006/relationships/chart" Target="charts/chart60.xml"/><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Excel_Worksheet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Excel_Worksheet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Excel_Worksheet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Excel_Worksheet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Microsoft_Excel_Worksheet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Microsoft_Excel_Worksheet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Microsoft_Excel_Worksheet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Microsoft_Excel_Worksheet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Microsoft_Excel_Worksheet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Microsoft_Excel_Worksheet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Microsoft_Excel_Worksheet3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Microsoft_Excel_Worksheet3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Microsoft_Excel_Worksheet32.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Microsoft_Excel_Worksheet33.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Microsoft_Excel_Worksheet34.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Microsoft_Excel_Worksheet35.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Microsoft_Excel_Worksheet36.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Microsoft_Excel_Worksheet37.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Microsoft_Excel_Worksheet38.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Microsoft_Excel_Worksheet39.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40.xml.rels><?xml version="1.0" encoding="UTF-8" standalone="yes"?>
<Relationships xmlns="http://schemas.openxmlformats.org/package/2006/relationships"><Relationship Id="rId1" Type="http://schemas.openxmlformats.org/officeDocument/2006/relationships/package" Target="../embeddings/Microsoft_Excel_Worksheet40.xlsx"/></Relationships>
</file>

<file path=word/charts/_rels/chart41.xml.rels><?xml version="1.0" encoding="UTF-8" standalone="yes"?>
<Relationships xmlns="http://schemas.openxmlformats.org/package/2006/relationships"><Relationship Id="rId1" Type="http://schemas.openxmlformats.org/officeDocument/2006/relationships/package" Target="../embeddings/Microsoft_Excel_Worksheet41.xlsx"/></Relationships>
</file>

<file path=word/charts/_rels/chart42.xml.rels><?xml version="1.0" encoding="UTF-8" standalone="yes"?>
<Relationships xmlns="http://schemas.openxmlformats.org/package/2006/relationships"><Relationship Id="rId1" Type="http://schemas.openxmlformats.org/officeDocument/2006/relationships/package" Target="../embeddings/Microsoft_Excel_Worksheet42.xlsx"/></Relationships>
</file>

<file path=word/charts/_rels/chart43.xml.rels><?xml version="1.0" encoding="UTF-8" standalone="yes"?>
<Relationships xmlns="http://schemas.openxmlformats.org/package/2006/relationships"><Relationship Id="rId1" Type="http://schemas.openxmlformats.org/officeDocument/2006/relationships/package" Target="../embeddings/Microsoft_Excel_Worksheet43.xlsx"/></Relationships>
</file>

<file path=word/charts/_rels/chart44.xml.rels><?xml version="1.0" encoding="UTF-8" standalone="yes"?>
<Relationships xmlns="http://schemas.openxmlformats.org/package/2006/relationships"><Relationship Id="rId1" Type="http://schemas.openxmlformats.org/officeDocument/2006/relationships/package" Target="../embeddings/Microsoft_Excel_Worksheet44.xlsx"/></Relationships>
</file>

<file path=word/charts/_rels/chart45.xml.rels><?xml version="1.0" encoding="UTF-8" standalone="yes"?>
<Relationships xmlns="http://schemas.openxmlformats.org/package/2006/relationships"><Relationship Id="rId1" Type="http://schemas.openxmlformats.org/officeDocument/2006/relationships/package" Target="../embeddings/Microsoft_Excel_Worksheet45.xlsx"/></Relationships>
</file>

<file path=word/charts/_rels/chart46.xml.rels><?xml version="1.0" encoding="UTF-8" standalone="yes"?>
<Relationships xmlns="http://schemas.openxmlformats.org/package/2006/relationships"><Relationship Id="rId1" Type="http://schemas.openxmlformats.org/officeDocument/2006/relationships/package" Target="../embeddings/Microsoft_Excel_Worksheet46.xlsx"/></Relationships>
</file>

<file path=word/charts/_rels/chart47.xml.rels><?xml version="1.0" encoding="UTF-8" standalone="yes"?>
<Relationships xmlns="http://schemas.openxmlformats.org/package/2006/relationships"><Relationship Id="rId1" Type="http://schemas.openxmlformats.org/officeDocument/2006/relationships/package" Target="../embeddings/Microsoft_Excel_Worksheet47.xlsx"/></Relationships>
</file>

<file path=word/charts/_rels/chart48.xml.rels><?xml version="1.0" encoding="UTF-8" standalone="yes"?>
<Relationships xmlns="http://schemas.openxmlformats.org/package/2006/relationships"><Relationship Id="rId1" Type="http://schemas.openxmlformats.org/officeDocument/2006/relationships/package" Target="../embeddings/Microsoft_Excel_Worksheet48.xlsx"/></Relationships>
</file>

<file path=word/charts/_rels/chart49.xml.rels><?xml version="1.0" encoding="UTF-8" standalone="yes"?>
<Relationships xmlns="http://schemas.openxmlformats.org/package/2006/relationships"><Relationship Id="rId1" Type="http://schemas.openxmlformats.org/officeDocument/2006/relationships/package" Target="../embeddings/Microsoft_Excel_Worksheet49.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50.xml.rels><?xml version="1.0" encoding="UTF-8" standalone="yes"?>
<Relationships xmlns="http://schemas.openxmlformats.org/package/2006/relationships"><Relationship Id="rId1" Type="http://schemas.openxmlformats.org/officeDocument/2006/relationships/package" Target="../embeddings/Microsoft_Excel_Worksheet50.xlsx"/></Relationships>
</file>

<file path=word/charts/_rels/chart51.xml.rels><?xml version="1.0" encoding="UTF-8" standalone="yes"?>
<Relationships xmlns="http://schemas.openxmlformats.org/package/2006/relationships"><Relationship Id="rId1" Type="http://schemas.openxmlformats.org/officeDocument/2006/relationships/package" Target="../embeddings/Microsoft_Excel_Worksheet51.xlsx"/></Relationships>
</file>

<file path=word/charts/_rels/chart52.xml.rels><?xml version="1.0" encoding="UTF-8" standalone="yes"?>
<Relationships xmlns="http://schemas.openxmlformats.org/package/2006/relationships"><Relationship Id="rId1" Type="http://schemas.openxmlformats.org/officeDocument/2006/relationships/package" Target="../embeddings/Microsoft_Excel_Worksheet52.xlsx"/></Relationships>
</file>

<file path=word/charts/_rels/chart53.xml.rels><?xml version="1.0" encoding="UTF-8" standalone="yes"?>
<Relationships xmlns="http://schemas.openxmlformats.org/package/2006/relationships"><Relationship Id="rId1" Type="http://schemas.openxmlformats.org/officeDocument/2006/relationships/package" Target="../embeddings/Microsoft_Excel_Worksheet53.xlsx"/></Relationships>
</file>

<file path=word/charts/_rels/chart54.xml.rels><?xml version="1.0" encoding="UTF-8" standalone="yes"?>
<Relationships xmlns="http://schemas.openxmlformats.org/package/2006/relationships"><Relationship Id="rId1" Type="http://schemas.openxmlformats.org/officeDocument/2006/relationships/package" Target="../embeddings/Microsoft_Excel_Worksheet54.xlsx"/></Relationships>
</file>

<file path=word/charts/_rels/chart55.xml.rels><?xml version="1.0" encoding="UTF-8" standalone="yes"?>
<Relationships xmlns="http://schemas.openxmlformats.org/package/2006/relationships"><Relationship Id="rId1" Type="http://schemas.openxmlformats.org/officeDocument/2006/relationships/package" Target="../embeddings/Microsoft_Excel_Worksheet55.xlsx"/></Relationships>
</file>

<file path=word/charts/_rels/chart56.xml.rels><?xml version="1.0" encoding="UTF-8" standalone="yes"?>
<Relationships xmlns="http://schemas.openxmlformats.org/package/2006/relationships"><Relationship Id="rId1" Type="http://schemas.openxmlformats.org/officeDocument/2006/relationships/package" Target="../embeddings/Microsoft_Excel_Worksheet56.xlsx"/></Relationships>
</file>

<file path=word/charts/_rels/chart57.xml.rels><?xml version="1.0" encoding="UTF-8" standalone="yes"?>
<Relationships xmlns="http://schemas.openxmlformats.org/package/2006/relationships"><Relationship Id="rId1" Type="http://schemas.openxmlformats.org/officeDocument/2006/relationships/package" Target="../embeddings/Microsoft_Excel_Worksheet57.xlsx"/></Relationships>
</file>

<file path=word/charts/_rels/chart58.xml.rels><?xml version="1.0" encoding="UTF-8" standalone="yes"?>
<Relationships xmlns="http://schemas.openxmlformats.org/package/2006/relationships"><Relationship Id="rId1" Type="http://schemas.openxmlformats.org/officeDocument/2006/relationships/package" Target="../embeddings/Microsoft_Excel_Worksheet58.xlsx"/></Relationships>
</file>

<file path=word/charts/_rels/chart59.xml.rels><?xml version="1.0" encoding="UTF-8" standalone="yes"?>
<Relationships xmlns="http://schemas.openxmlformats.org/package/2006/relationships"><Relationship Id="rId1" Type="http://schemas.openxmlformats.org/officeDocument/2006/relationships/package" Target="../embeddings/Microsoft_Excel_Worksheet59.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60.xml.rels><?xml version="1.0" encoding="UTF-8" standalone="yes"?>
<Relationships xmlns="http://schemas.openxmlformats.org/package/2006/relationships"><Relationship Id="rId1" Type="http://schemas.openxmlformats.org/officeDocument/2006/relationships/package" Target="../embeddings/Microsoft_Excel_Worksheet60.xlsx"/></Relationships>
</file>

<file path=word/charts/_rels/chart61.xml.rels><?xml version="1.0" encoding="UTF-8" standalone="yes"?>
<Relationships xmlns="http://schemas.openxmlformats.org/package/2006/relationships"><Relationship Id="rId1" Type="http://schemas.openxmlformats.org/officeDocument/2006/relationships/package" Target="../embeddings/Microsoft_Excel_Worksheet61.xlsx"/></Relationships>
</file>

<file path=word/charts/_rels/chart62.xml.rels><?xml version="1.0" encoding="UTF-8" standalone="yes"?>
<Relationships xmlns="http://schemas.openxmlformats.org/package/2006/relationships"><Relationship Id="rId1" Type="http://schemas.openxmlformats.org/officeDocument/2006/relationships/package" Target="../embeddings/Microsoft_Excel_Worksheet62.xlsx"/></Relationships>
</file>

<file path=word/charts/_rels/chart63.xml.rels><?xml version="1.0" encoding="UTF-8" standalone="yes"?>
<Relationships xmlns="http://schemas.openxmlformats.org/package/2006/relationships"><Relationship Id="rId1" Type="http://schemas.openxmlformats.org/officeDocument/2006/relationships/package" Target="../embeddings/Microsoft_Excel_Worksheet6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0"/>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6.1732022543953199E-2"/>
          <c:w val="0.86890756302520999"/>
          <c:h val="0.76659271269894702"/>
        </c:manualLayout>
      </c:layout>
      <c:bar3DChart>
        <c:barDir val="col"/>
        <c:grouping val="stacked"/>
        <c:varyColors val="0"/>
        <c:ser>
          <c:idx val="0"/>
          <c:order val="0"/>
          <c:tx>
            <c:strRef>
              <c:f>Sheet1!$B$1</c:f>
              <c:strCache>
                <c:ptCount val="1"/>
                <c:pt idx="0">
                  <c:v>Velmi dobrá</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Sheet1!$B$2:$B$3</c:f>
              <c:numCache>
                <c:formatCode>General</c:formatCode>
                <c:ptCount val="2"/>
                <c:pt idx="0">
                  <c:v>2</c:v>
                </c:pt>
                <c:pt idx="1">
                  <c:v>3</c:v>
                </c:pt>
              </c:numCache>
            </c:numRef>
          </c:val>
        </c:ser>
        <c:ser>
          <c:idx val="1"/>
          <c:order val="1"/>
          <c:tx>
            <c:strRef>
              <c:f>Sheet1!$C$1</c:f>
              <c:strCache>
                <c:ptCount val="1"/>
                <c:pt idx="0">
                  <c:v>Spíše dobrá</c:v>
                </c:pt>
              </c:strCache>
            </c:strRef>
          </c:tx>
          <c:spPr>
            <a:solidFill>
              <a:srgbClr val="FF99CC"/>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Sheet1!$C$2:$C$3</c:f>
              <c:numCache>
                <c:formatCode>General</c:formatCode>
                <c:ptCount val="2"/>
                <c:pt idx="0">
                  <c:v>38</c:v>
                </c:pt>
                <c:pt idx="1">
                  <c:v>46</c:v>
                </c:pt>
              </c:numCache>
            </c:numRef>
          </c:val>
        </c:ser>
        <c:ser>
          <c:idx val="5"/>
          <c:order val="2"/>
          <c:tx>
            <c:strRef>
              <c:f>Sheet1!$D$1</c:f>
              <c:strCache>
                <c:ptCount val="1"/>
                <c:pt idx="0">
                  <c:v>Spíše špatná</c:v>
                </c:pt>
              </c:strCache>
            </c:strRef>
          </c:tx>
          <c:spPr>
            <a:solidFill>
              <a:srgbClr val="66FFFF"/>
            </a:solidFill>
            <a:ln w="12708">
              <a:solidFill>
                <a:srgbClr val="000000"/>
              </a:solidFill>
              <a:prstDash val="solid"/>
            </a:ln>
          </c:spPr>
          <c:invertIfNegative val="0"/>
          <c:dLbls>
            <c:dLbl>
              <c:idx val="0"/>
              <c:layout>
                <c:manualLayout>
                  <c:x val="2.5954951217993199E-3"/>
                  <c:y val="-1.0233856718456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7.1545760617262501E-3"/>
                  <c:y val="-1.5979763494444101E-2"/>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Sheet1!$D$2:$D$3</c:f>
              <c:numCache>
                <c:formatCode>General</c:formatCode>
                <c:ptCount val="2"/>
                <c:pt idx="0">
                  <c:v>51</c:v>
                </c:pt>
                <c:pt idx="1">
                  <c:v>46</c:v>
                </c:pt>
              </c:numCache>
            </c:numRef>
          </c:val>
        </c:ser>
        <c:ser>
          <c:idx val="2"/>
          <c:order val="3"/>
          <c:tx>
            <c:strRef>
              <c:f>Sheet1!$E$1</c:f>
              <c:strCache>
                <c:ptCount val="1"/>
                <c:pt idx="0">
                  <c:v>Velmi špatná</c:v>
                </c:pt>
              </c:strCache>
            </c:strRef>
          </c:tx>
          <c:spPr>
            <a:solidFill>
              <a:srgbClr val="000099"/>
            </a:solidFill>
            <a:ln>
              <a:solidFill>
                <a:schemeClr val="tx1"/>
              </a:solidFill>
            </a:ln>
          </c:spPr>
          <c:invertIfNegative val="0"/>
          <c:dLbls>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Sheet1!$E$2:$E$3</c:f>
              <c:numCache>
                <c:formatCode>General</c:formatCode>
                <c:ptCount val="2"/>
                <c:pt idx="0">
                  <c:v>9</c:v>
                </c:pt>
                <c:pt idx="1">
                  <c:v>5</c:v>
                </c:pt>
              </c:numCache>
            </c:numRef>
          </c:val>
        </c:ser>
        <c:dLbls>
          <c:showLegendKey val="0"/>
          <c:showVal val="1"/>
          <c:showCatName val="0"/>
          <c:showSerName val="0"/>
          <c:showPercent val="0"/>
          <c:showBubbleSize val="0"/>
        </c:dLbls>
        <c:gapWidth val="150"/>
        <c:shape val="box"/>
        <c:axId val="112440832"/>
        <c:axId val="112442368"/>
        <c:axId val="0"/>
      </c:bar3DChart>
      <c:catAx>
        <c:axId val="112440832"/>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2442368"/>
        <c:crosses val="autoZero"/>
        <c:auto val="1"/>
        <c:lblAlgn val="ctr"/>
        <c:lblOffset val="100"/>
        <c:tickLblSkip val="1"/>
        <c:tickMarkSkip val="1"/>
        <c:noMultiLvlLbl val="0"/>
      </c:catAx>
      <c:valAx>
        <c:axId val="112442368"/>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2440832"/>
        <c:crosses val="autoZero"/>
        <c:crossBetween val="between"/>
        <c:majorUnit val="20"/>
      </c:valAx>
      <c:spPr>
        <a:noFill/>
        <a:ln w="25415">
          <a:noFill/>
        </a:ln>
      </c:spPr>
    </c:plotArea>
    <c:legend>
      <c:legendPos val="b"/>
      <c:layout>
        <c:manualLayout>
          <c:xMode val="edge"/>
          <c:yMode val="edge"/>
          <c:x val="0.17167104689662199"/>
          <c:y val="0.885356928431413"/>
          <c:w val="0.640326864515261"/>
          <c:h val="6.7607314449167399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0" i="1" u="none" strike="noStrike" baseline="0">
                <a:solidFill>
                  <a:srgbClr val="000000"/>
                </a:solidFill>
                <a:latin typeface="Times New Roman CE"/>
                <a:ea typeface="Times New Roman CE"/>
                <a:cs typeface="Times New Roman CE"/>
              </a:defRPr>
            </a:pPr>
            <a:r>
              <a:rPr lang="cs-CZ" sz="1100" b="0" i="1" u="none" strike="noStrike" baseline="0">
                <a:solidFill>
                  <a:srgbClr val="000000"/>
                </a:solidFill>
                <a:latin typeface="Times New Roman" panose="02020603050405020304" pitchFamily="18" charset="0"/>
                <a:cs typeface="Times New Roman" panose="02020603050405020304" pitchFamily="18" charset="0"/>
              </a:rPr>
              <a:t>„Slyšel(a) jste někdy termín nebo slovní spojení </a:t>
            </a:r>
          </a:p>
          <a:p>
            <a:pPr>
              <a:defRPr sz="1100" b="0" i="1" u="none" strike="noStrike" baseline="0">
                <a:solidFill>
                  <a:srgbClr val="000000"/>
                </a:solidFill>
                <a:latin typeface="Times New Roman CE"/>
                <a:ea typeface="Times New Roman CE"/>
                <a:cs typeface="Times New Roman CE"/>
              </a:defRPr>
            </a:pPr>
            <a:r>
              <a:rPr lang="cs-CZ" sz="1100" b="0" i="1" u="none" strike="noStrike" baseline="0">
                <a:solidFill>
                  <a:srgbClr val="000000"/>
                </a:solidFill>
                <a:latin typeface="Times New Roman" panose="02020603050405020304" pitchFamily="18" charset="0"/>
                <a:cs typeface="Times New Roman" panose="02020603050405020304" pitchFamily="18" charset="0"/>
              </a:rPr>
              <a:t>„elektronická evidence tržeb“?“</a:t>
            </a:r>
          </a:p>
          <a:p>
            <a:pPr>
              <a:defRPr sz="1100" b="0" i="1" u="none" strike="noStrike" baseline="0">
                <a:solidFill>
                  <a:srgbClr val="000000"/>
                </a:solidFill>
                <a:latin typeface="Times New Roman CE"/>
                <a:ea typeface="Times New Roman CE"/>
                <a:cs typeface="Times New Roman CE"/>
              </a:defRPr>
            </a:pPr>
            <a:r>
              <a:rPr lang="cs-CZ" sz="1100" b="0" i="0" u="none" strike="noStrike" baseline="0">
                <a:solidFill>
                  <a:srgbClr val="000000"/>
                </a:solidFill>
                <a:latin typeface="Times New Roman" panose="02020603050405020304" pitchFamily="18" charset="0"/>
                <a:cs typeface="Times New Roman" panose="02020603050405020304" pitchFamily="18" charset="0"/>
              </a:rPr>
              <a:t>- podle vzdělání</a:t>
            </a:r>
          </a:p>
        </c:rich>
      </c:tx>
      <c:layout>
        <c:manualLayout>
          <c:xMode val="edge"/>
          <c:yMode val="edge"/>
          <c:x val="0.25469108619524899"/>
          <c:y val="2.8011204481792701E-2"/>
        </c:manualLayout>
      </c:layout>
      <c:overlay val="0"/>
      <c:spPr>
        <a:noFill/>
        <a:ln w="25387">
          <a:noFill/>
        </a:ln>
      </c:spPr>
    </c:title>
    <c:autoTitleDeleted val="0"/>
    <c:view3D>
      <c:rotX val="10"/>
      <c:hPercent val="43"/>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082644628099199"/>
          <c:y val="0.210242587601078"/>
          <c:w val="0.87107438016529004"/>
          <c:h val="0.59299191374663096"/>
        </c:manualLayout>
      </c:layout>
      <c:bar3DChart>
        <c:barDir val="col"/>
        <c:grouping val="stacked"/>
        <c:varyColors val="0"/>
        <c:ser>
          <c:idx val="0"/>
          <c:order val="0"/>
          <c:tx>
            <c:strRef>
              <c:f>Sheet1!$B$1</c:f>
              <c:strCache>
                <c:ptCount val="1"/>
                <c:pt idx="0">
                  <c:v>Ano</c:v>
                </c:pt>
              </c:strCache>
            </c:strRef>
          </c:tx>
          <c:spPr>
            <a:solidFill>
              <a:srgbClr val="FF0000"/>
            </a:solidFill>
            <a:ln w="12693">
              <a:solidFill>
                <a:srgbClr val="000000"/>
              </a:solidFill>
              <a:prstDash val="solid"/>
            </a:ln>
          </c:spPr>
          <c:invertIfNegative val="0"/>
          <c:dLbls>
            <c:dLbl>
              <c:idx val="0"/>
              <c:layout>
                <c:manualLayout>
                  <c:x val="4.2156846285219601E-3"/>
                  <c:y val="-9.403067471035510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7960195507959899E-3"/>
                  <c:y val="-7.2030335795863496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8112282181622899E-3"/>
                  <c:y val="-4.7202224070774103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5685941578052798E-3"/>
                  <c:y val="-0.14276249199377"/>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61322314049586801"/>
                  <c:y val="0.80862533692722405"/>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72727272727272696"/>
                  <c:y val="0.8247978436657690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387">
                <a:noFill/>
              </a:ln>
            </c:spPr>
            <c:txPr>
              <a:bodyPr/>
              <a:lstStyle/>
              <a:p>
                <a:pPr algn="r">
                  <a:defRPr sz="999"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Sheet1!$B$2:$B$5</c:f>
              <c:numCache>
                <c:formatCode>General</c:formatCode>
                <c:ptCount val="4"/>
                <c:pt idx="0" formatCode="0">
                  <c:v>78</c:v>
                </c:pt>
                <c:pt idx="1">
                  <c:v>91</c:v>
                </c:pt>
                <c:pt idx="2">
                  <c:v>96</c:v>
                </c:pt>
                <c:pt idx="3">
                  <c:v>99</c:v>
                </c:pt>
              </c:numCache>
            </c:numRef>
          </c:val>
        </c:ser>
        <c:ser>
          <c:idx val="1"/>
          <c:order val="1"/>
          <c:tx>
            <c:strRef>
              <c:f>Sheet1!$C$1</c:f>
              <c:strCache>
                <c:ptCount val="1"/>
                <c:pt idx="0">
                  <c:v>Ne</c:v>
                </c:pt>
              </c:strCache>
            </c:strRef>
          </c:tx>
          <c:spPr>
            <a:solidFill>
              <a:srgbClr val="00CCFF"/>
            </a:solidFill>
            <a:ln w="12693">
              <a:solidFill>
                <a:srgbClr val="000000"/>
              </a:solidFill>
              <a:prstDash val="solid"/>
            </a:ln>
          </c:spPr>
          <c:invertIfNegative val="0"/>
          <c:dLbls>
            <c:dLbl>
              <c:idx val="0"/>
              <c:layout>
                <c:manualLayout>
                  <c:x val="5.8685771905054402E-3"/>
                  <c:y val="-4.20086618919386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1431269888125696E-3"/>
                  <c:y val="-1.008708566701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2625604665416702E-3"/>
                  <c:y val="1.8941989261794601E-3"/>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1.87323208079853E-3"/>
                  <c:y val="5.9925064718463301E-3"/>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61322314049586801"/>
                  <c:y val="0.64420485175202202"/>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72727272727272696"/>
                  <c:y val="0.70619946091644203"/>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387">
                <a:noFill/>
              </a:ln>
            </c:spPr>
            <c:txPr>
              <a:bodyPr/>
              <a:lstStyle/>
              <a:p>
                <a:pPr>
                  <a:defRPr sz="999"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Sheet1!$C$2:$C$5</c:f>
              <c:numCache>
                <c:formatCode>General</c:formatCode>
                <c:ptCount val="4"/>
                <c:pt idx="0">
                  <c:v>22</c:v>
                </c:pt>
                <c:pt idx="1">
                  <c:v>9</c:v>
                </c:pt>
                <c:pt idx="2">
                  <c:v>4</c:v>
                </c:pt>
                <c:pt idx="3">
                  <c:v>1</c:v>
                </c:pt>
              </c:numCache>
            </c:numRef>
          </c:val>
        </c:ser>
        <c:dLbls>
          <c:showLegendKey val="0"/>
          <c:showVal val="1"/>
          <c:showCatName val="0"/>
          <c:showSerName val="0"/>
          <c:showPercent val="0"/>
          <c:showBubbleSize val="0"/>
        </c:dLbls>
        <c:gapWidth val="150"/>
        <c:shape val="box"/>
        <c:axId val="117730304"/>
        <c:axId val="117744384"/>
        <c:axId val="0"/>
      </c:bar3DChart>
      <c:catAx>
        <c:axId val="117730304"/>
        <c:scaling>
          <c:orientation val="minMax"/>
        </c:scaling>
        <c:delete val="0"/>
        <c:axPos val="b"/>
        <c:numFmt formatCode="General" sourceLinked="1"/>
        <c:majorTickMark val="out"/>
        <c:minorTickMark val="none"/>
        <c:tickLblPos val="low"/>
        <c:spPr>
          <a:ln w="3173">
            <a:solidFill>
              <a:srgbClr val="000000"/>
            </a:solidFill>
            <a:prstDash val="solid"/>
          </a:ln>
        </c:spPr>
        <c:txPr>
          <a:bodyPr rot="0" vert="horz"/>
          <a:lstStyle/>
          <a:p>
            <a:pPr>
              <a:defRPr sz="1199" b="0" i="0" u="none" strike="noStrike" baseline="0">
                <a:solidFill>
                  <a:srgbClr val="000000"/>
                </a:solidFill>
                <a:latin typeface="Times New Roman CE"/>
                <a:ea typeface="Times New Roman CE"/>
                <a:cs typeface="Times New Roman CE"/>
              </a:defRPr>
            </a:pPr>
            <a:endParaRPr lang="cs-CZ"/>
          </a:p>
        </c:txPr>
        <c:crossAx val="117744384"/>
        <c:crosses val="autoZero"/>
        <c:auto val="1"/>
        <c:lblAlgn val="ctr"/>
        <c:lblOffset val="100"/>
        <c:tickLblSkip val="1"/>
        <c:tickMarkSkip val="1"/>
        <c:noMultiLvlLbl val="0"/>
      </c:catAx>
      <c:valAx>
        <c:axId val="117744384"/>
        <c:scaling>
          <c:orientation val="minMax"/>
          <c:max val="100"/>
          <c:min val="0"/>
        </c:scaling>
        <c:delete val="0"/>
        <c:axPos val="l"/>
        <c:title>
          <c:tx>
            <c:rich>
              <a:bodyPr rot="0" vert="horz"/>
              <a:lstStyle/>
              <a:p>
                <a:pPr algn="ctr">
                  <a:defRPr sz="1199"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8.2644628099173608E-3"/>
              <c:y val="0.42857142857142899"/>
            </c:manualLayout>
          </c:layout>
          <c:overlay val="0"/>
          <c:spPr>
            <a:noFill/>
            <a:ln w="25387">
              <a:noFill/>
            </a:ln>
          </c:spPr>
        </c:title>
        <c:numFmt formatCode="0" sourceLinked="1"/>
        <c:majorTickMark val="out"/>
        <c:minorTickMark val="none"/>
        <c:tickLblPos val="nextTo"/>
        <c:spPr>
          <a:ln w="3173">
            <a:solidFill>
              <a:srgbClr val="000000"/>
            </a:solidFill>
            <a:prstDash val="solid"/>
          </a:ln>
        </c:spPr>
        <c:txPr>
          <a:bodyPr rot="0" vert="horz"/>
          <a:lstStyle/>
          <a:p>
            <a:pPr>
              <a:defRPr sz="1199" b="0" i="0" u="none" strike="noStrike" baseline="0">
                <a:solidFill>
                  <a:srgbClr val="000000"/>
                </a:solidFill>
                <a:latin typeface="Times New Roman CE"/>
                <a:ea typeface="Times New Roman CE"/>
                <a:cs typeface="Times New Roman CE"/>
              </a:defRPr>
            </a:pPr>
            <a:endParaRPr lang="cs-CZ"/>
          </a:p>
        </c:txPr>
        <c:crossAx val="117730304"/>
        <c:crosses val="autoZero"/>
        <c:crossBetween val="between"/>
        <c:majorUnit val="20"/>
      </c:valAx>
      <c:spPr>
        <a:noFill/>
        <a:ln w="25387">
          <a:noFill/>
        </a:ln>
      </c:spPr>
    </c:plotArea>
    <c:legend>
      <c:legendPos val="b"/>
      <c:layout>
        <c:manualLayout>
          <c:xMode val="edge"/>
          <c:yMode val="edge"/>
          <c:x val="0.25454545454545402"/>
          <c:y val="0.91374663072776197"/>
          <c:w val="0.50082644628099204"/>
          <c:h val="7.54716981132076E-2"/>
        </c:manualLayout>
      </c:layout>
      <c:overlay val="0"/>
      <c:spPr>
        <a:noFill/>
        <a:ln w="3173">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199"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0" i="1" u="none" strike="noStrike" baseline="0">
                <a:solidFill>
                  <a:srgbClr val="000000"/>
                </a:solidFill>
                <a:latin typeface="Times New Roman CE"/>
                <a:ea typeface="Times New Roman CE"/>
                <a:cs typeface="Times New Roman CE"/>
              </a:defRPr>
            </a:pPr>
            <a:r>
              <a:rPr lang="cs-CZ" sz="1100" b="0" i="1" u="none" strike="noStrike" baseline="0">
                <a:solidFill>
                  <a:srgbClr val="000000"/>
                </a:solidFill>
                <a:latin typeface="Times New Roman" panose="02020603050405020304" pitchFamily="18" charset="0"/>
                <a:cs typeface="Times New Roman" panose="02020603050405020304" pitchFamily="18" charset="0"/>
              </a:rPr>
              <a:t>„Slyšel(a) jste někdy termín nebo slovní spojení </a:t>
            </a:r>
          </a:p>
          <a:p>
            <a:pPr>
              <a:defRPr sz="1100" b="0" i="1" u="none" strike="noStrike" baseline="0">
                <a:solidFill>
                  <a:srgbClr val="000000"/>
                </a:solidFill>
                <a:latin typeface="Times New Roman CE"/>
                <a:ea typeface="Times New Roman CE"/>
                <a:cs typeface="Times New Roman CE"/>
              </a:defRPr>
            </a:pPr>
            <a:r>
              <a:rPr lang="cs-CZ" sz="1100" b="0" i="1" u="none" strike="noStrike" baseline="0">
                <a:solidFill>
                  <a:srgbClr val="000000"/>
                </a:solidFill>
                <a:latin typeface="Times New Roman" panose="02020603050405020304" pitchFamily="18" charset="0"/>
                <a:cs typeface="Times New Roman" panose="02020603050405020304" pitchFamily="18" charset="0"/>
              </a:rPr>
              <a:t>„elektronická evidence tržeb“?“</a:t>
            </a:r>
          </a:p>
          <a:p>
            <a:pPr>
              <a:defRPr sz="1100" b="0" i="1" u="none" strike="noStrike" baseline="0">
                <a:solidFill>
                  <a:srgbClr val="000000"/>
                </a:solidFill>
                <a:latin typeface="Times New Roman CE"/>
                <a:ea typeface="Times New Roman CE"/>
                <a:cs typeface="Times New Roman CE"/>
              </a:defRPr>
            </a:pPr>
            <a:r>
              <a:rPr lang="cs-CZ" sz="11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25469108619524899"/>
          <c:y val="2.8011204481792701E-2"/>
        </c:manualLayout>
      </c:layout>
      <c:overlay val="0"/>
      <c:spPr>
        <a:noFill/>
        <a:ln w="25387">
          <a:noFill/>
        </a:ln>
      </c:spPr>
    </c:title>
    <c:autoTitleDeleted val="0"/>
    <c:view3D>
      <c:rotX val="10"/>
      <c:hPercent val="43"/>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082644628099199"/>
          <c:y val="0.210242587601078"/>
          <c:w val="0.87107438016529004"/>
          <c:h val="0.59299191374663096"/>
        </c:manualLayout>
      </c:layout>
      <c:bar3DChart>
        <c:barDir val="col"/>
        <c:grouping val="stacked"/>
        <c:varyColors val="0"/>
        <c:ser>
          <c:idx val="0"/>
          <c:order val="0"/>
          <c:tx>
            <c:strRef>
              <c:f>Sheet1!$B$1</c:f>
              <c:strCache>
                <c:ptCount val="1"/>
                <c:pt idx="0">
                  <c:v>Ano</c:v>
                </c:pt>
              </c:strCache>
            </c:strRef>
          </c:tx>
          <c:spPr>
            <a:solidFill>
              <a:srgbClr val="FF0000"/>
            </a:solidFill>
            <a:ln w="12693">
              <a:solidFill>
                <a:srgbClr val="000000"/>
              </a:solidFill>
              <a:prstDash val="solid"/>
            </a:ln>
          </c:spPr>
          <c:invertIfNegative val="0"/>
          <c:dLbls>
            <c:dLbl>
              <c:idx val="0"/>
              <c:layout>
                <c:manualLayout>
                  <c:x val="4.2156846285219601E-3"/>
                  <c:y val="-9.403067471035510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7960195507959899E-3"/>
                  <c:y val="-7.2030335795863496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8112282181622899E-3"/>
                  <c:y val="-4.7202224070774103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4052725768158E-3"/>
                  <c:y val="-4.8217964610749099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61322314049586801"/>
                  <c:y val="0.80862533692722405"/>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72727272727272696"/>
                  <c:y val="0.8247978436657690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387">
                <a:noFill/>
              </a:ln>
            </c:spPr>
            <c:txPr>
              <a:bodyPr/>
              <a:lstStyle/>
              <a:p>
                <a:pPr algn="r">
                  <a:defRPr sz="999"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formatCode="0">
                  <c:v>83</c:v>
                </c:pt>
                <c:pt idx="1">
                  <c:v>89</c:v>
                </c:pt>
                <c:pt idx="2">
                  <c:v>98</c:v>
                </c:pt>
                <c:pt idx="3">
                  <c:v>96</c:v>
                </c:pt>
              </c:numCache>
            </c:numRef>
          </c:val>
        </c:ser>
        <c:ser>
          <c:idx val="1"/>
          <c:order val="1"/>
          <c:tx>
            <c:strRef>
              <c:f>Sheet1!$C$1</c:f>
              <c:strCache>
                <c:ptCount val="1"/>
                <c:pt idx="0">
                  <c:v>Ne</c:v>
                </c:pt>
              </c:strCache>
            </c:strRef>
          </c:tx>
          <c:spPr>
            <a:solidFill>
              <a:srgbClr val="00CCFF"/>
            </a:solidFill>
            <a:ln w="12693">
              <a:solidFill>
                <a:srgbClr val="000000"/>
              </a:solidFill>
              <a:prstDash val="solid"/>
            </a:ln>
          </c:spPr>
          <c:invertIfNegative val="0"/>
          <c:dLbls>
            <c:dLbl>
              <c:idx val="0"/>
              <c:layout>
                <c:manualLayout>
                  <c:x val="5.8685771905054402E-3"/>
                  <c:y val="-4.20086618919386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1431269888125696E-3"/>
                  <c:y val="-1.008708566701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2625604665416702E-3"/>
                  <c:y val="1.8941989261794601E-3"/>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1.87323208079853E-3"/>
                  <c:y val="5.9925064718463301E-3"/>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61322314049586801"/>
                  <c:y val="0.64420485175202202"/>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72727272727272696"/>
                  <c:y val="0.70619946091644203"/>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387">
                <a:noFill/>
              </a:ln>
            </c:spPr>
            <c:txPr>
              <a:bodyPr/>
              <a:lstStyle/>
              <a:p>
                <a:pPr>
                  <a:defRPr sz="999"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17</c:v>
                </c:pt>
                <c:pt idx="1">
                  <c:v>11</c:v>
                </c:pt>
                <c:pt idx="2">
                  <c:v>2</c:v>
                </c:pt>
                <c:pt idx="3">
                  <c:v>4</c:v>
                </c:pt>
              </c:numCache>
            </c:numRef>
          </c:val>
        </c:ser>
        <c:dLbls>
          <c:showLegendKey val="0"/>
          <c:showVal val="1"/>
          <c:showCatName val="0"/>
          <c:showSerName val="0"/>
          <c:showPercent val="0"/>
          <c:showBubbleSize val="0"/>
        </c:dLbls>
        <c:gapWidth val="150"/>
        <c:shape val="box"/>
        <c:axId val="117949184"/>
        <c:axId val="117950720"/>
        <c:axId val="0"/>
      </c:bar3DChart>
      <c:catAx>
        <c:axId val="117949184"/>
        <c:scaling>
          <c:orientation val="minMax"/>
        </c:scaling>
        <c:delete val="0"/>
        <c:axPos val="b"/>
        <c:numFmt formatCode="General" sourceLinked="1"/>
        <c:majorTickMark val="out"/>
        <c:minorTickMark val="none"/>
        <c:tickLblPos val="low"/>
        <c:spPr>
          <a:ln w="3173">
            <a:solidFill>
              <a:srgbClr val="000000"/>
            </a:solidFill>
            <a:prstDash val="solid"/>
          </a:ln>
        </c:spPr>
        <c:txPr>
          <a:bodyPr rot="0" vert="horz"/>
          <a:lstStyle/>
          <a:p>
            <a:pPr>
              <a:defRPr sz="1199" b="0" i="0" u="none" strike="noStrike" baseline="0">
                <a:solidFill>
                  <a:srgbClr val="000000"/>
                </a:solidFill>
                <a:latin typeface="Times New Roman CE"/>
                <a:ea typeface="Times New Roman CE"/>
                <a:cs typeface="Times New Roman CE"/>
              </a:defRPr>
            </a:pPr>
            <a:endParaRPr lang="cs-CZ"/>
          </a:p>
        </c:txPr>
        <c:crossAx val="117950720"/>
        <c:crosses val="autoZero"/>
        <c:auto val="1"/>
        <c:lblAlgn val="ctr"/>
        <c:lblOffset val="100"/>
        <c:tickLblSkip val="1"/>
        <c:tickMarkSkip val="1"/>
        <c:noMultiLvlLbl val="0"/>
      </c:catAx>
      <c:valAx>
        <c:axId val="117950720"/>
        <c:scaling>
          <c:orientation val="minMax"/>
          <c:max val="100"/>
          <c:min val="0"/>
        </c:scaling>
        <c:delete val="0"/>
        <c:axPos val="l"/>
        <c:title>
          <c:tx>
            <c:rich>
              <a:bodyPr rot="0" vert="horz"/>
              <a:lstStyle/>
              <a:p>
                <a:pPr algn="ctr">
                  <a:defRPr sz="1199"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8.2644628099173608E-3"/>
              <c:y val="0.42857142857142899"/>
            </c:manualLayout>
          </c:layout>
          <c:overlay val="0"/>
          <c:spPr>
            <a:noFill/>
            <a:ln w="25387">
              <a:noFill/>
            </a:ln>
          </c:spPr>
        </c:title>
        <c:numFmt formatCode="0" sourceLinked="1"/>
        <c:majorTickMark val="out"/>
        <c:minorTickMark val="none"/>
        <c:tickLblPos val="nextTo"/>
        <c:spPr>
          <a:ln w="3173">
            <a:solidFill>
              <a:srgbClr val="000000"/>
            </a:solidFill>
            <a:prstDash val="solid"/>
          </a:ln>
        </c:spPr>
        <c:txPr>
          <a:bodyPr rot="0" vert="horz"/>
          <a:lstStyle/>
          <a:p>
            <a:pPr>
              <a:defRPr sz="1199" b="0" i="0" u="none" strike="noStrike" baseline="0">
                <a:solidFill>
                  <a:srgbClr val="000000"/>
                </a:solidFill>
                <a:latin typeface="Times New Roman CE"/>
                <a:ea typeface="Times New Roman CE"/>
                <a:cs typeface="Times New Roman CE"/>
              </a:defRPr>
            </a:pPr>
            <a:endParaRPr lang="cs-CZ"/>
          </a:p>
        </c:txPr>
        <c:crossAx val="117949184"/>
        <c:crosses val="autoZero"/>
        <c:crossBetween val="between"/>
        <c:majorUnit val="20"/>
      </c:valAx>
      <c:spPr>
        <a:noFill/>
        <a:ln w="25387">
          <a:noFill/>
        </a:ln>
      </c:spPr>
    </c:plotArea>
    <c:legend>
      <c:legendPos val="b"/>
      <c:layout>
        <c:manualLayout>
          <c:xMode val="edge"/>
          <c:yMode val="edge"/>
          <c:x val="0.25454545454545402"/>
          <c:y val="0.91374663072776197"/>
          <c:w val="0.50082644628099204"/>
          <c:h val="7.54716981132076E-2"/>
        </c:manualLayout>
      </c:layout>
      <c:overlay val="0"/>
      <c:spPr>
        <a:noFill/>
        <a:ln w="3173">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199"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0"/>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6.1732022543953199E-2"/>
          <c:w val="0.86890756302520999"/>
          <c:h val="0.76659271269894702"/>
        </c:manualLayout>
      </c:layout>
      <c:bar3DChart>
        <c:barDir val="col"/>
        <c:grouping val="stacked"/>
        <c:varyColors val="0"/>
        <c:ser>
          <c:idx val="0"/>
          <c:order val="0"/>
          <c:tx>
            <c:strRef>
              <c:f>Sheet1!$B$1</c:f>
              <c:strCache>
                <c:ptCount val="1"/>
                <c:pt idx="0">
                  <c:v>Určitě ano</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Sheet1!$B$2:$B$3</c:f>
              <c:numCache>
                <c:formatCode>General</c:formatCode>
                <c:ptCount val="2"/>
                <c:pt idx="0">
                  <c:v>22</c:v>
                </c:pt>
                <c:pt idx="1">
                  <c:v>19</c:v>
                </c:pt>
              </c:numCache>
            </c:numRef>
          </c:val>
        </c:ser>
        <c:ser>
          <c:idx val="1"/>
          <c:order val="1"/>
          <c:tx>
            <c:strRef>
              <c:f>Sheet1!$C$1</c:f>
              <c:strCache>
                <c:ptCount val="1"/>
                <c:pt idx="0">
                  <c:v>Spíše ano</c:v>
                </c:pt>
              </c:strCache>
            </c:strRef>
          </c:tx>
          <c:spPr>
            <a:solidFill>
              <a:srgbClr val="FF7C80"/>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Sheet1!$C$2:$C$3</c:f>
              <c:numCache>
                <c:formatCode>General</c:formatCode>
                <c:ptCount val="2"/>
                <c:pt idx="0">
                  <c:v>44</c:v>
                </c:pt>
                <c:pt idx="1">
                  <c:v>41</c:v>
                </c:pt>
              </c:numCache>
            </c:numRef>
          </c:val>
        </c:ser>
        <c:ser>
          <c:idx val="5"/>
          <c:order val="2"/>
          <c:tx>
            <c:strRef>
              <c:f>Sheet1!$D$1</c:f>
              <c:strCache>
                <c:ptCount val="1"/>
                <c:pt idx="0">
                  <c:v>Spíše ne</c:v>
                </c:pt>
              </c:strCache>
            </c:strRef>
          </c:tx>
          <c:spPr>
            <a:solidFill>
              <a:srgbClr val="CCFFFF"/>
            </a:solidFill>
            <a:ln w="12708">
              <a:solidFill>
                <a:srgbClr val="000000"/>
              </a:solidFill>
              <a:prstDash val="solid"/>
            </a:ln>
          </c:spPr>
          <c:invertIfNegative val="0"/>
          <c:dLbls>
            <c:dLbl>
              <c:idx val="0"/>
              <c:layout>
                <c:manualLayout>
                  <c:x val="2.5954951217993199E-3"/>
                  <c:y val="-1.0233856718456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7.1545760617262501E-3"/>
                  <c:y val="-1.5979763494444101E-2"/>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Sheet1!$D$2:$D$3</c:f>
              <c:numCache>
                <c:formatCode>General</c:formatCode>
                <c:ptCount val="2"/>
                <c:pt idx="0">
                  <c:v>26</c:v>
                </c:pt>
                <c:pt idx="1">
                  <c:v>28</c:v>
                </c:pt>
              </c:numCache>
            </c:numRef>
          </c:val>
        </c:ser>
        <c:ser>
          <c:idx val="2"/>
          <c:order val="3"/>
          <c:tx>
            <c:strRef>
              <c:f>Sheet1!$E$1</c:f>
              <c:strCache>
                <c:ptCount val="1"/>
                <c:pt idx="0">
                  <c:v>Určitě ne</c:v>
                </c:pt>
              </c:strCache>
            </c:strRef>
          </c:tx>
          <c:spPr>
            <a:solidFill>
              <a:srgbClr val="333399"/>
            </a:solidFill>
            <a:ln>
              <a:solidFill>
                <a:schemeClr val="tx1"/>
              </a:solidFill>
            </a:ln>
          </c:spPr>
          <c:invertIfNegative val="0"/>
          <c:dLbls>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Sheet1!$E$2:$E$3</c:f>
              <c:numCache>
                <c:formatCode>General</c:formatCode>
                <c:ptCount val="2"/>
                <c:pt idx="0">
                  <c:v>8</c:v>
                </c:pt>
                <c:pt idx="1">
                  <c:v>12</c:v>
                </c:pt>
              </c:numCache>
            </c:numRef>
          </c:val>
        </c:ser>
        <c:dLbls>
          <c:showLegendKey val="0"/>
          <c:showVal val="1"/>
          <c:showCatName val="0"/>
          <c:showSerName val="0"/>
          <c:showPercent val="0"/>
          <c:showBubbleSize val="0"/>
        </c:dLbls>
        <c:gapWidth val="150"/>
        <c:shape val="box"/>
        <c:axId val="118188672"/>
        <c:axId val="118210944"/>
        <c:axId val="0"/>
      </c:bar3DChart>
      <c:catAx>
        <c:axId val="118188672"/>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8210944"/>
        <c:crosses val="autoZero"/>
        <c:auto val="1"/>
        <c:lblAlgn val="ctr"/>
        <c:lblOffset val="100"/>
        <c:tickLblSkip val="1"/>
        <c:tickMarkSkip val="1"/>
        <c:noMultiLvlLbl val="0"/>
      </c:catAx>
      <c:valAx>
        <c:axId val="118210944"/>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8188672"/>
        <c:crosses val="autoZero"/>
        <c:crossBetween val="between"/>
        <c:majorUnit val="20"/>
      </c:valAx>
      <c:spPr>
        <a:noFill/>
        <a:ln w="25415">
          <a:noFill/>
        </a:ln>
      </c:spPr>
    </c:plotArea>
    <c:legend>
      <c:legendPos val="b"/>
      <c:layout>
        <c:manualLayout>
          <c:xMode val="edge"/>
          <c:yMode val="edge"/>
          <c:x val="0.17167104689662199"/>
          <c:y val="0.885356928431413"/>
          <c:w val="0.640326864515261"/>
          <c:h val="6.7607314449167399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„Myslíte si, že zavedení elektronické evidence tržeb postupně přispěje </a:t>
            </a:r>
            <a:br>
              <a:rPr lang="cs-CZ" sz="1202" b="0" i="1" u="none" strike="noStrike" baseline="0">
                <a:effectLst/>
              </a:rPr>
            </a:br>
            <a:r>
              <a:rPr lang="cs-CZ" sz="1202" b="0" i="1" u="none" strike="noStrike" baseline="0">
                <a:effectLst/>
              </a:rPr>
              <a:t>ke zvýšení </a:t>
            </a:r>
            <a:r>
              <a:rPr lang="cs-CZ" sz="1202" b="0" i="1" u="sng" strike="noStrike" baseline="0">
                <a:effectLst/>
              </a:rPr>
              <a:t>důvěry</a:t>
            </a:r>
            <a:r>
              <a:rPr lang="cs-CZ" sz="1202" b="0" i="1" u="none" strike="noStrike" baseline="0">
                <a:effectLst/>
              </a:rPr>
              <a:t> zákazníků k obchodníkům a poskytovatelům služeb?“</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133374945782225"/>
          <c:y val="1.71008304508661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c:v>59</c:v>
                </c:pt>
                <c:pt idx="1">
                  <c:v>53</c:v>
                </c:pt>
                <c:pt idx="2">
                  <c:v>57</c:v>
                </c:pt>
                <c:pt idx="3">
                  <c:v>72</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41</c:v>
                </c:pt>
                <c:pt idx="1">
                  <c:v>47</c:v>
                </c:pt>
                <c:pt idx="2">
                  <c:v>43</c:v>
                </c:pt>
                <c:pt idx="3">
                  <c:v>28</c:v>
                </c:pt>
              </c:numCache>
            </c:numRef>
          </c:val>
        </c:ser>
        <c:dLbls>
          <c:showLegendKey val="0"/>
          <c:showVal val="1"/>
          <c:showCatName val="0"/>
          <c:showSerName val="0"/>
          <c:showPercent val="0"/>
          <c:showBubbleSize val="0"/>
        </c:dLbls>
        <c:gapWidth val="150"/>
        <c:shape val="box"/>
        <c:axId val="120473856"/>
        <c:axId val="120492032"/>
        <c:axId val="0"/>
      </c:bar3DChart>
      <c:catAx>
        <c:axId val="12047385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0492032"/>
        <c:crosses val="autoZero"/>
        <c:auto val="1"/>
        <c:lblAlgn val="ctr"/>
        <c:lblOffset val="100"/>
        <c:tickLblSkip val="1"/>
        <c:tickMarkSkip val="1"/>
        <c:noMultiLvlLbl val="0"/>
      </c:catAx>
      <c:valAx>
        <c:axId val="12049203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0473856"/>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„Myslíte si, že zavedení elektronické evidence tržeb postupně přispěje </a:t>
            </a:r>
            <a:br>
              <a:rPr lang="cs-CZ" sz="1202" b="0" i="1" u="none" strike="noStrike" baseline="0">
                <a:effectLst/>
              </a:rPr>
            </a:br>
            <a:r>
              <a:rPr lang="cs-CZ" sz="1202" b="0" i="1" u="none" strike="noStrike" baseline="0">
                <a:effectLst/>
              </a:rPr>
              <a:t>ke zvýšení </a:t>
            </a:r>
            <a:r>
              <a:rPr lang="cs-CZ" sz="1202" b="0" i="1" u="sng" strike="noStrike" baseline="0">
                <a:effectLst/>
              </a:rPr>
              <a:t>důvěry</a:t>
            </a:r>
            <a:r>
              <a:rPr lang="cs-CZ" sz="1202" b="0" i="1" u="none" strike="noStrike" baseline="0">
                <a:effectLst/>
              </a:rPr>
              <a:t> zákazníků k obchodníkům a poskytovatelům služeb?“</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pohlaví</a:t>
            </a:r>
          </a:p>
        </c:rich>
      </c:tx>
      <c:layout>
        <c:manualLayout>
          <c:xMode val="edge"/>
          <c:yMode val="edge"/>
          <c:x val="0.13997725409477399"/>
          <c:y val="2.34581095354179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Sheet1!$B$2:$B$3</c:f>
              <c:numCache>
                <c:formatCode>General</c:formatCode>
                <c:ptCount val="2"/>
                <c:pt idx="0">
                  <c:v>63</c:v>
                </c:pt>
                <c:pt idx="1">
                  <c:v>58</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Sheet1!$C$2:$C$3</c:f>
              <c:numCache>
                <c:formatCode>General</c:formatCode>
                <c:ptCount val="2"/>
                <c:pt idx="0">
                  <c:v>37</c:v>
                </c:pt>
                <c:pt idx="1">
                  <c:v>42</c:v>
                </c:pt>
              </c:numCache>
            </c:numRef>
          </c:val>
        </c:ser>
        <c:dLbls>
          <c:showLegendKey val="0"/>
          <c:showVal val="1"/>
          <c:showCatName val="0"/>
          <c:showSerName val="0"/>
          <c:showPercent val="0"/>
          <c:showBubbleSize val="0"/>
        </c:dLbls>
        <c:gapWidth val="150"/>
        <c:shape val="box"/>
        <c:axId val="120584832"/>
        <c:axId val="120996224"/>
        <c:axId val="0"/>
      </c:bar3DChart>
      <c:catAx>
        <c:axId val="120584832"/>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0996224"/>
        <c:crosses val="autoZero"/>
        <c:auto val="1"/>
        <c:lblAlgn val="ctr"/>
        <c:lblOffset val="100"/>
        <c:tickLblSkip val="1"/>
        <c:tickMarkSkip val="1"/>
        <c:noMultiLvlLbl val="0"/>
      </c:catAx>
      <c:valAx>
        <c:axId val="120996224"/>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0584832"/>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„Myslíte si, že zavedení elektronické evidence tržeb postupně přispěje </a:t>
            </a:r>
            <a:br>
              <a:rPr lang="cs-CZ" sz="1202" b="0" i="1" u="none" strike="noStrike" baseline="0">
                <a:effectLst/>
              </a:rPr>
            </a:br>
            <a:r>
              <a:rPr lang="cs-CZ" sz="1202" b="0" i="1" u="none" strike="noStrike" baseline="0">
                <a:effectLst/>
              </a:rPr>
              <a:t>ke zvýšení </a:t>
            </a:r>
            <a:r>
              <a:rPr lang="cs-CZ" sz="1202" b="0" i="1" u="sng" strike="noStrike" baseline="0">
                <a:effectLst/>
              </a:rPr>
              <a:t>důvěry</a:t>
            </a:r>
            <a:r>
              <a:rPr lang="cs-CZ" sz="1202" b="0" i="1" u="none" strike="noStrike" baseline="0">
                <a:effectLst/>
              </a:rPr>
              <a:t> zákazníků k obchodníkům a poskytovatelům služeb?“</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sympatizantů politických stran</a:t>
            </a:r>
          </a:p>
        </c:rich>
      </c:tx>
      <c:layout>
        <c:manualLayout>
          <c:xMode val="edge"/>
          <c:yMode val="edge"/>
          <c:x val="0.16638655462184901"/>
          <c:y val="1.39211136890950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6.5432687733864306E-2"/>
          <c:y val="0.185614849187935"/>
          <c:w val="0.92620074933600005"/>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34690243434559E-3"/>
                  <c:y val="-1.047201527042719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1640101762192497E-5"/>
                  <c:y val="1.27462117372764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5524231078018303E-4"/>
                  <c:y val="-1.7587669935933602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1.92004136753387E-4"/>
                  <c:y val="-9.6453760132462502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ANO</c:v>
                </c:pt>
                <c:pt idx="1">
                  <c:v>ČSSD</c:v>
                </c:pt>
                <c:pt idx="2">
                  <c:v>KSČM</c:v>
                </c:pt>
                <c:pt idx="3">
                  <c:v>KDU-ČSL</c:v>
                </c:pt>
                <c:pt idx="4">
                  <c:v>TOP 09</c:v>
                </c:pt>
                <c:pt idx="5">
                  <c:v>SPD (Okamura)</c:v>
                </c:pt>
                <c:pt idx="6">
                  <c:v>ODS</c:v>
                </c:pt>
              </c:strCache>
            </c:strRef>
          </c:cat>
          <c:val>
            <c:numRef>
              <c:f>Sheet1!$B$2:$B$8</c:f>
              <c:numCache>
                <c:formatCode>General</c:formatCode>
                <c:ptCount val="7"/>
                <c:pt idx="0">
                  <c:v>83</c:v>
                </c:pt>
                <c:pt idx="1">
                  <c:v>77</c:v>
                </c:pt>
                <c:pt idx="2">
                  <c:v>61</c:v>
                </c:pt>
                <c:pt idx="3">
                  <c:v>52</c:v>
                </c:pt>
                <c:pt idx="4">
                  <c:v>38</c:v>
                </c:pt>
                <c:pt idx="5">
                  <c:v>34</c:v>
                </c:pt>
                <c:pt idx="6">
                  <c:v>31</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5524231078018303E-4"/>
                  <c:y val="2.6550311497593598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2.0087653007628699E-3"/>
                  <c:y val="1.48482229758663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4.40153887503251E-3"/>
                  <c:y val="6.3568383688753201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ANO</c:v>
                </c:pt>
                <c:pt idx="1">
                  <c:v>ČSSD</c:v>
                </c:pt>
                <c:pt idx="2">
                  <c:v>KSČM</c:v>
                </c:pt>
                <c:pt idx="3">
                  <c:v>KDU-ČSL</c:v>
                </c:pt>
                <c:pt idx="4">
                  <c:v>TOP 09</c:v>
                </c:pt>
                <c:pt idx="5">
                  <c:v>SPD (Okamura)</c:v>
                </c:pt>
                <c:pt idx="6">
                  <c:v>ODS</c:v>
                </c:pt>
              </c:strCache>
            </c:strRef>
          </c:cat>
          <c:val>
            <c:numRef>
              <c:f>Sheet1!$C$2:$C$8</c:f>
              <c:numCache>
                <c:formatCode>General</c:formatCode>
                <c:ptCount val="7"/>
                <c:pt idx="0">
                  <c:v>17</c:v>
                </c:pt>
                <c:pt idx="1">
                  <c:v>23</c:v>
                </c:pt>
                <c:pt idx="2">
                  <c:v>39</c:v>
                </c:pt>
                <c:pt idx="3">
                  <c:v>48</c:v>
                </c:pt>
                <c:pt idx="4">
                  <c:v>62</c:v>
                </c:pt>
                <c:pt idx="5">
                  <c:v>66</c:v>
                </c:pt>
                <c:pt idx="6">
                  <c:v>69</c:v>
                </c:pt>
              </c:numCache>
            </c:numRef>
          </c:val>
        </c:ser>
        <c:dLbls>
          <c:showLegendKey val="0"/>
          <c:showVal val="1"/>
          <c:showCatName val="0"/>
          <c:showSerName val="0"/>
          <c:showPercent val="0"/>
          <c:showBubbleSize val="0"/>
        </c:dLbls>
        <c:gapWidth val="150"/>
        <c:shape val="box"/>
        <c:axId val="121031680"/>
        <c:axId val="121033472"/>
        <c:axId val="0"/>
      </c:bar3DChart>
      <c:catAx>
        <c:axId val="12103168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000" b="0" i="0" u="none" strike="noStrike" baseline="0">
                <a:solidFill>
                  <a:srgbClr val="000000"/>
                </a:solidFill>
                <a:latin typeface="Times New Roman CE"/>
                <a:ea typeface="Times New Roman CE"/>
                <a:cs typeface="Times New Roman CE"/>
              </a:defRPr>
            </a:pPr>
            <a:endParaRPr lang="cs-CZ"/>
          </a:p>
        </c:txPr>
        <c:crossAx val="121033472"/>
        <c:crosses val="autoZero"/>
        <c:auto val="1"/>
        <c:lblAlgn val="ctr"/>
        <c:lblOffset val="100"/>
        <c:tickLblSkip val="1"/>
        <c:tickMarkSkip val="1"/>
        <c:noMultiLvlLbl val="0"/>
      </c:catAx>
      <c:valAx>
        <c:axId val="12103347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1031680"/>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1" u="none" strike="noStrike" baseline="0">
                <a:solidFill>
                  <a:srgbClr val="000000"/>
                </a:solidFill>
                <a:latin typeface="Times New Roman" panose="02020603050405020304" pitchFamily="18" charset="0"/>
                <a:cs typeface="Times New Roman" panose="02020603050405020304" pitchFamily="18" charset="0"/>
              </a:rPr>
              <a:t>„</a:t>
            </a:r>
            <a:r>
              <a:rPr lang="cs-CZ" sz="1202" b="0" i="1" u="none" strike="noStrike" baseline="0"/>
              <a:t>Myslíte si, že zavedení elektronické evidence tržeb postupně přispěje </a:t>
            </a:r>
            <a:br>
              <a:rPr lang="cs-CZ" sz="1202" b="0" i="1" u="none" strike="noStrike" baseline="0"/>
            </a:br>
            <a:r>
              <a:rPr lang="cs-CZ" sz="1202" b="0" i="1" u="none" strike="noStrike" baseline="0"/>
              <a:t>ke zvýšení </a:t>
            </a:r>
            <a:r>
              <a:rPr lang="cs-CZ" sz="1202" b="0" i="1" u="sng" strike="noStrike" baseline="0"/>
              <a:t>důvěry</a:t>
            </a:r>
            <a:r>
              <a:rPr lang="cs-CZ" sz="1202" b="0" i="1" u="none" strike="noStrike" baseline="0"/>
              <a:t> zákazníků k obchodníkům a poskytovatelům služeb?</a:t>
            </a:r>
            <a:r>
              <a:rPr lang="cs-CZ" sz="1200" b="0" i="1" u="none" strike="noStrike" baseline="0">
                <a:solidFill>
                  <a:srgbClr val="000000"/>
                </a:solidFill>
                <a:latin typeface="Times New Roman" panose="02020603050405020304" pitchFamily="18" charset="0"/>
                <a:cs typeface="Times New Roman" panose="02020603050405020304" pitchFamily="18" charset="0"/>
              </a:rPr>
              <a:t>“</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zkušeností s hotovostními tržbami z podnikání</a:t>
            </a:r>
          </a:p>
        </c:rich>
      </c:tx>
      <c:layout>
        <c:manualLayout>
          <c:xMode val="edge"/>
          <c:yMode val="edge"/>
          <c:x val="0.133374945782225"/>
          <c:y val="1.39211433500896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7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99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30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Sheet1!$B$2:$B$3</c:f>
              <c:numCache>
                <c:formatCode>General</c:formatCode>
                <c:ptCount val="2"/>
                <c:pt idx="0">
                  <c:v>47</c:v>
                </c:pt>
                <c:pt idx="1">
                  <c:v>64</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2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207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Sheet1!$C$2:$C$3</c:f>
              <c:numCache>
                <c:formatCode>General</c:formatCode>
                <c:ptCount val="2"/>
                <c:pt idx="0">
                  <c:v>53</c:v>
                </c:pt>
                <c:pt idx="1">
                  <c:v>36</c:v>
                </c:pt>
              </c:numCache>
            </c:numRef>
          </c:val>
        </c:ser>
        <c:dLbls>
          <c:showLegendKey val="0"/>
          <c:showVal val="1"/>
          <c:showCatName val="0"/>
          <c:showSerName val="0"/>
          <c:showPercent val="0"/>
          <c:showBubbleSize val="0"/>
        </c:dLbls>
        <c:gapWidth val="150"/>
        <c:shape val="box"/>
        <c:axId val="124579200"/>
        <c:axId val="124580992"/>
        <c:axId val="0"/>
      </c:bar3DChart>
      <c:catAx>
        <c:axId val="12457920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4580992"/>
        <c:crosses val="autoZero"/>
        <c:auto val="1"/>
        <c:lblAlgn val="ctr"/>
        <c:lblOffset val="100"/>
        <c:tickLblSkip val="1"/>
        <c:tickMarkSkip val="1"/>
        <c:noMultiLvlLbl val="0"/>
      </c:catAx>
      <c:valAx>
        <c:axId val="12458099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4579200"/>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0"/>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6.1732022543953199E-2"/>
          <c:w val="0.86890756302520999"/>
          <c:h val="0.76659271269894702"/>
        </c:manualLayout>
      </c:layout>
      <c:bar3DChart>
        <c:barDir val="col"/>
        <c:grouping val="stacked"/>
        <c:varyColors val="0"/>
        <c:ser>
          <c:idx val="0"/>
          <c:order val="0"/>
          <c:tx>
            <c:strRef>
              <c:f>Sheet1!$B$1</c:f>
              <c:strCache>
                <c:ptCount val="1"/>
                <c:pt idx="0">
                  <c:v>Určitě ano</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Sheet1!$B$2:$B$3</c:f>
              <c:numCache>
                <c:formatCode>General</c:formatCode>
                <c:ptCount val="2"/>
                <c:pt idx="0">
                  <c:v>27</c:v>
                </c:pt>
                <c:pt idx="1">
                  <c:v>25</c:v>
                </c:pt>
              </c:numCache>
            </c:numRef>
          </c:val>
        </c:ser>
        <c:ser>
          <c:idx val="1"/>
          <c:order val="1"/>
          <c:tx>
            <c:strRef>
              <c:f>Sheet1!$C$1</c:f>
              <c:strCache>
                <c:ptCount val="1"/>
                <c:pt idx="0">
                  <c:v>Spíše ano</c:v>
                </c:pt>
              </c:strCache>
            </c:strRef>
          </c:tx>
          <c:spPr>
            <a:solidFill>
              <a:srgbClr val="FF7C80"/>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Sheet1!$C$2:$C$3</c:f>
              <c:numCache>
                <c:formatCode>General</c:formatCode>
                <c:ptCount val="2"/>
                <c:pt idx="0">
                  <c:v>47</c:v>
                </c:pt>
                <c:pt idx="1">
                  <c:v>42</c:v>
                </c:pt>
              </c:numCache>
            </c:numRef>
          </c:val>
        </c:ser>
        <c:ser>
          <c:idx val="5"/>
          <c:order val="2"/>
          <c:tx>
            <c:strRef>
              <c:f>Sheet1!$D$1</c:f>
              <c:strCache>
                <c:ptCount val="1"/>
                <c:pt idx="0">
                  <c:v>Spíše ne</c:v>
                </c:pt>
              </c:strCache>
            </c:strRef>
          </c:tx>
          <c:spPr>
            <a:solidFill>
              <a:srgbClr val="CCFFFF"/>
            </a:solidFill>
            <a:ln w="12708">
              <a:solidFill>
                <a:srgbClr val="000000"/>
              </a:solidFill>
              <a:prstDash val="solid"/>
            </a:ln>
          </c:spPr>
          <c:invertIfNegative val="0"/>
          <c:dLbls>
            <c:dLbl>
              <c:idx val="0"/>
              <c:layout>
                <c:manualLayout>
                  <c:x val="2.5954951217993199E-3"/>
                  <c:y val="-1.0233856718456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7.1545760617262501E-3"/>
                  <c:y val="-1.5979763494444101E-2"/>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Sheet1!$D$2:$D$3</c:f>
              <c:numCache>
                <c:formatCode>General</c:formatCode>
                <c:ptCount val="2"/>
                <c:pt idx="0">
                  <c:v>19</c:v>
                </c:pt>
                <c:pt idx="1">
                  <c:v>24</c:v>
                </c:pt>
              </c:numCache>
            </c:numRef>
          </c:val>
        </c:ser>
        <c:ser>
          <c:idx val="2"/>
          <c:order val="3"/>
          <c:tx>
            <c:strRef>
              <c:f>Sheet1!$E$1</c:f>
              <c:strCache>
                <c:ptCount val="1"/>
                <c:pt idx="0">
                  <c:v>Určitě ne</c:v>
                </c:pt>
              </c:strCache>
            </c:strRef>
          </c:tx>
          <c:spPr>
            <a:solidFill>
              <a:srgbClr val="333399"/>
            </a:solidFill>
            <a:ln>
              <a:solidFill>
                <a:schemeClr val="tx1"/>
              </a:solidFill>
            </a:ln>
          </c:spPr>
          <c:invertIfNegative val="0"/>
          <c:dLbls>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Sheet1!$E$2:$E$3</c:f>
              <c:numCache>
                <c:formatCode>General</c:formatCode>
                <c:ptCount val="2"/>
                <c:pt idx="0">
                  <c:v>7</c:v>
                </c:pt>
                <c:pt idx="1">
                  <c:v>9</c:v>
                </c:pt>
              </c:numCache>
            </c:numRef>
          </c:val>
        </c:ser>
        <c:dLbls>
          <c:showLegendKey val="0"/>
          <c:showVal val="1"/>
          <c:showCatName val="0"/>
          <c:showSerName val="0"/>
          <c:showPercent val="0"/>
          <c:showBubbleSize val="0"/>
        </c:dLbls>
        <c:gapWidth val="150"/>
        <c:shape val="box"/>
        <c:axId val="124749696"/>
        <c:axId val="124751232"/>
        <c:axId val="0"/>
      </c:bar3DChart>
      <c:catAx>
        <c:axId val="12474969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4751232"/>
        <c:crosses val="autoZero"/>
        <c:auto val="1"/>
        <c:lblAlgn val="ctr"/>
        <c:lblOffset val="100"/>
        <c:tickLblSkip val="1"/>
        <c:tickMarkSkip val="1"/>
        <c:noMultiLvlLbl val="0"/>
      </c:catAx>
      <c:valAx>
        <c:axId val="12475123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4749696"/>
        <c:crosses val="autoZero"/>
        <c:crossBetween val="between"/>
        <c:majorUnit val="20"/>
      </c:valAx>
      <c:spPr>
        <a:noFill/>
        <a:ln w="25415">
          <a:noFill/>
        </a:ln>
      </c:spPr>
    </c:plotArea>
    <c:legend>
      <c:legendPos val="b"/>
      <c:layout>
        <c:manualLayout>
          <c:xMode val="edge"/>
          <c:yMode val="edge"/>
          <c:x val="0.17167104689662199"/>
          <c:y val="0.885356928431413"/>
          <c:w val="0.640326864515261"/>
          <c:h val="6.7607314449167399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„Myslíte si, že zavedení elektronické evidence tržeb postupně přispěje </a:t>
            </a:r>
            <a:br>
              <a:rPr lang="cs-CZ" sz="1202" b="0" i="1" u="none" strike="noStrike" baseline="0">
                <a:effectLst/>
              </a:rPr>
            </a:br>
            <a:r>
              <a:rPr lang="cs-CZ" sz="1202" b="0" i="1" u="none" strike="noStrike" baseline="0">
                <a:effectLst/>
              </a:rPr>
              <a:t>ke zlepšení </a:t>
            </a:r>
            <a:r>
              <a:rPr lang="cs-CZ" sz="1202" b="0" i="1" u="sng" strike="noStrike" baseline="0">
                <a:effectLst/>
              </a:rPr>
              <a:t>výběru</a:t>
            </a:r>
            <a:r>
              <a:rPr lang="cs-CZ" sz="1202" b="0" i="1" u="none" strike="noStrike" baseline="0">
                <a:effectLst/>
              </a:rPr>
              <a:t> daní od obchodníků a poskytovatelů služeb?“</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133374945782225"/>
          <c:y val="1.71008304508661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c:v>69</c:v>
                </c:pt>
                <c:pt idx="1">
                  <c:v>61</c:v>
                </c:pt>
                <c:pt idx="2">
                  <c:v>62</c:v>
                </c:pt>
                <c:pt idx="3">
                  <c:v>77</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31</c:v>
                </c:pt>
                <c:pt idx="1">
                  <c:v>39</c:v>
                </c:pt>
                <c:pt idx="2">
                  <c:v>38</c:v>
                </c:pt>
                <c:pt idx="3">
                  <c:v>23</c:v>
                </c:pt>
              </c:numCache>
            </c:numRef>
          </c:val>
        </c:ser>
        <c:dLbls>
          <c:showLegendKey val="0"/>
          <c:showVal val="1"/>
          <c:showCatName val="0"/>
          <c:showSerName val="0"/>
          <c:showPercent val="0"/>
          <c:showBubbleSize val="0"/>
        </c:dLbls>
        <c:gapWidth val="150"/>
        <c:shape val="box"/>
        <c:axId val="124676352"/>
        <c:axId val="124677504"/>
        <c:axId val="0"/>
      </c:bar3DChart>
      <c:catAx>
        <c:axId val="124676352"/>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4677504"/>
        <c:crosses val="autoZero"/>
        <c:auto val="1"/>
        <c:lblAlgn val="ctr"/>
        <c:lblOffset val="100"/>
        <c:tickLblSkip val="1"/>
        <c:tickMarkSkip val="1"/>
        <c:noMultiLvlLbl val="0"/>
      </c:catAx>
      <c:valAx>
        <c:axId val="124677504"/>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4676352"/>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„Myslíte si, že zavedení elektronické evidence tržeb postupně přispěje </a:t>
            </a:r>
            <a:br>
              <a:rPr lang="cs-CZ" sz="1202" b="0" i="1" u="none" strike="noStrike" baseline="0">
                <a:effectLst/>
              </a:rPr>
            </a:br>
            <a:r>
              <a:rPr lang="cs-CZ" sz="1202" b="0" i="1" u="none" strike="noStrike" baseline="0">
                <a:effectLst/>
              </a:rPr>
              <a:t>ke zlepšení </a:t>
            </a:r>
            <a:r>
              <a:rPr lang="cs-CZ" sz="1202" b="0" i="1" u="sng" strike="noStrike" baseline="0">
                <a:effectLst/>
              </a:rPr>
              <a:t>výběru</a:t>
            </a:r>
            <a:r>
              <a:rPr lang="cs-CZ" sz="1202" b="0" i="1" u="none" strike="noStrike" baseline="0">
                <a:effectLst/>
              </a:rPr>
              <a:t> daní od obchodníků a poskytovatelů služeb?“</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pohlaví</a:t>
            </a:r>
          </a:p>
        </c:rich>
      </c:tx>
      <c:layout>
        <c:manualLayout>
          <c:xMode val="edge"/>
          <c:yMode val="edge"/>
          <c:x val="0.133374945782225"/>
          <c:y val="1.71008304508661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Sheet1!$B$2:$B$3</c:f>
              <c:numCache>
                <c:formatCode>General</c:formatCode>
                <c:ptCount val="2"/>
                <c:pt idx="0">
                  <c:v>70</c:v>
                </c:pt>
                <c:pt idx="1">
                  <c:v>65</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Sheet1!$C$2:$C$3</c:f>
              <c:numCache>
                <c:formatCode>General</c:formatCode>
                <c:ptCount val="2"/>
                <c:pt idx="0">
                  <c:v>30</c:v>
                </c:pt>
                <c:pt idx="1">
                  <c:v>35</c:v>
                </c:pt>
              </c:numCache>
            </c:numRef>
          </c:val>
        </c:ser>
        <c:dLbls>
          <c:showLegendKey val="0"/>
          <c:showVal val="1"/>
          <c:showCatName val="0"/>
          <c:showSerName val="0"/>
          <c:showPercent val="0"/>
          <c:showBubbleSize val="0"/>
        </c:dLbls>
        <c:gapWidth val="150"/>
        <c:shape val="box"/>
        <c:axId val="124348672"/>
        <c:axId val="124349824"/>
        <c:axId val="0"/>
      </c:bar3DChart>
      <c:catAx>
        <c:axId val="124348672"/>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4349824"/>
        <c:crosses val="autoZero"/>
        <c:auto val="1"/>
        <c:lblAlgn val="ctr"/>
        <c:lblOffset val="100"/>
        <c:tickLblSkip val="1"/>
        <c:tickMarkSkip val="1"/>
        <c:noMultiLvlLbl val="0"/>
      </c:catAx>
      <c:valAx>
        <c:axId val="124349824"/>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4348672"/>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1" u="none" strike="noStrike" baseline="0">
                <a:solidFill>
                  <a:srgbClr val="000000"/>
                </a:solidFill>
                <a:latin typeface="Times New Roman" panose="02020603050405020304" pitchFamily="18" charset="0"/>
                <a:cs typeface="Times New Roman" panose="02020603050405020304" pitchFamily="18" charset="0"/>
              </a:rPr>
              <a:t>„Zvážíte-li všechna pro a proti, řekl(a) byste, že daňová morálka obchodníků, prodejců zboží a služeb je dnes v ČR:“</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16638655462184901"/>
          <c:y val="1.39211136890950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Velmi+spíše dobrá</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c:v>55</c:v>
                </c:pt>
                <c:pt idx="1">
                  <c:v>51</c:v>
                </c:pt>
                <c:pt idx="2">
                  <c:v>45</c:v>
                </c:pt>
                <c:pt idx="3">
                  <c:v>44</c:v>
                </c:pt>
              </c:numCache>
            </c:numRef>
          </c:val>
        </c:ser>
        <c:ser>
          <c:idx val="1"/>
          <c:order val="1"/>
          <c:tx>
            <c:strRef>
              <c:f>Sheet1!$C$1</c:f>
              <c:strCache>
                <c:ptCount val="1"/>
                <c:pt idx="0">
                  <c:v>Velmi+spíše špatná</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45</c:v>
                </c:pt>
                <c:pt idx="1">
                  <c:v>49</c:v>
                </c:pt>
                <c:pt idx="2">
                  <c:v>55</c:v>
                </c:pt>
                <c:pt idx="3">
                  <c:v>56</c:v>
                </c:pt>
              </c:numCache>
            </c:numRef>
          </c:val>
        </c:ser>
        <c:dLbls>
          <c:showLegendKey val="0"/>
          <c:showVal val="1"/>
          <c:showCatName val="0"/>
          <c:showSerName val="0"/>
          <c:showPercent val="0"/>
          <c:showBubbleSize val="0"/>
        </c:dLbls>
        <c:gapWidth val="150"/>
        <c:shape val="box"/>
        <c:axId val="114116096"/>
        <c:axId val="114117632"/>
        <c:axId val="0"/>
      </c:bar3DChart>
      <c:catAx>
        <c:axId val="11411609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4117632"/>
        <c:crosses val="autoZero"/>
        <c:auto val="1"/>
        <c:lblAlgn val="ctr"/>
        <c:lblOffset val="100"/>
        <c:tickLblSkip val="1"/>
        <c:tickMarkSkip val="1"/>
        <c:noMultiLvlLbl val="0"/>
      </c:catAx>
      <c:valAx>
        <c:axId val="11411763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4116096"/>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„Myslíte si, že zavedení elektronické evidence tržeb postupně přispěje </a:t>
            </a:r>
            <a:br>
              <a:rPr lang="cs-CZ" sz="1202" b="0" i="1" u="none" strike="noStrike" baseline="0">
                <a:effectLst/>
              </a:rPr>
            </a:br>
            <a:r>
              <a:rPr lang="cs-CZ" sz="1202" b="0" i="1" u="none" strike="noStrike" baseline="0">
                <a:effectLst/>
              </a:rPr>
              <a:t>ke zlepšení </a:t>
            </a:r>
            <a:r>
              <a:rPr lang="cs-CZ" sz="1202" b="0" i="1" u="sng" strike="noStrike" baseline="0">
                <a:effectLst/>
              </a:rPr>
              <a:t>výběru</a:t>
            </a:r>
            <a:r>
              <a:rPr lang="cs-CZ" sz="1202" b="0" i="1" u="none" strike="noStrike" baseline="0">
                <a:effectLst/>
              </a:rPr>
              <a:t> daní od obchodníků a poskytovatelů služeb?“</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sympatizantů politických stran</a:t>
            </a:r>
          </a:p>
        </c:rich>
      </c:tx>
      <c:layout>
        <c:manualLayout>
          <c:xMode val="edge"/>
          <c:yMode val="edge"/>
          <c:x val="0.14657956240732301"/>
          <c:y val="2.34581095354179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6.5432687733864306E-2"/>
          <c:y val="0.185614849187935"/>
          <c:w val="0.92620074933600005"/>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34690243434559E-3"/>
                  <c:y val="-1.047201527042719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1640101762192497E-5"/>
                  <c:y val="1.27462117372764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5524231078018303E-4"/>
                  <c:y val="-1.7587669935933602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1.92004136753387E-4"/>
                  <c:y val="-9.6453760132462502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ANO</c:v>
                </c:pt>
                <c:pt idx="1">
                  <c:v>ČSSD</c:v>
                </c:pt>
                <c:pt idx="2">
                  <c:v>KSČM</c:v>
                </c:pt>
                <c:pt idx="3">
                  <c:v>KDU-ČSL</c:v>
                </c:pt>
                <c:pt idx="4">
                  <c:v>TOP 09</c:v>
                </c:pt>
                <c:pt idx="5">
                  <c:v>SPD (Okamura)</c:v>
                </c:pt>
                <c:pt idx="6">
                  <c:v>ODS</c:v>
                </c:pt>
              </c:strCache>
            </c:strRef>
          </c:cat>
          <c:val>
            <c:numRef>
              <c:f>Sheet1!$B$2:$B$8</c:f>
              <c:numCache>
                <c:formatCode>General</c:formatCode>
                <c:ptCount val="7"/>
                <c:pt idx="0">
                  <c:v>88</c:v>
                </c:pt>
                <c:pt idx="1">
                  <c:v>82</c:v>
                </c:pt>
                <c:pt idx="2">
                  <c:v>68</c:v>
                </c:pt>
                <c:pt idx="3">
                  <c:v>55</c:v>
                </c:pt>
                <c:pt idx="4">
                  <c:v>42</c:v>
                </c:pt>
                <c:pt idx="5">
                  <c:v>42</c:v>
                </c:pt>
                <c:pt idx="6">
                  <c:v>42</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5524231078018303E-4"/>
                  <c:y val="2.6550311497593598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2.0087653007628699E-3"/>
                  <c:y val="1.48482229758663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4.40153887503251E-3"/>
                  <c:y val="6.3568383688753201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ANO</c:v>
                </c:pt>
                <c:pt idx="1">
                  <c:v>ČSSD</c:v>
                </c:pt>
                <c:pt idx="2">
                  <c:v>KSČM</c:v>
                </c:pt>
                <c:pt idx="3">
                  <c:v>KDU-ČSL</c:v>
                </c:pt>
                <c:pt idx="4">
                  <c:v>TOP 09</c:v>
                </c:pt>
                <c:pt idx="5">
                  <c:v>SPD (Okamura)</c:v>
                </c:pt>
                <c:pt idx="6">
                  <c:v>ODS</c:v>
                </c:pt>
              </c:strCache>
            </c:strRef>
          </c:cat>
          <c:val>
            <c:numRef>
              <c:f>Sheet1!$C$2:$C$8</c:f>
              <c:numCache>
                <c:formatCode>General</c:formatCode>
                <c:ptCount val="7"/>
                <c:pt idx="0">
                  <c:v>12</c:v>
                </c:pt>
                <c:pt idx="1">
                  <c:v>18</c:v>
                </c:pt>
                <c:pt idx="2">
                  <c:v>32</c:v>
                </c:pt>
                <c:pt idx="3">
                  <c:v>45</c:v>
                </c:pt>
                <c:pt idx="4">
                  <c:v>58</c:v>
                </c:pt>
                <c:pt idx="5">
                  <c:v>58</c:v>
                </c:pt>
                <c:pt idx="6">
                  <c:v>58</c:v>
                </c:pt>
              </c:numCache>
            </c:numRef>
          </c:val>
        </c:ser>
        <c:dLbls>
          <c:showLegendKey val="0"/>
          <c:showVal val="1"/>
          <c:showCatName val="0"/>
          <c:showSerName val="0"/>
          <c:showPercent val="0"/>
          <c:showBubbleSize val="0"/>
        </c:dLbls>
        <c:gapWidth val="150"/>
        <c:shape val="box"/>
        <c:axId val="124458880"/>
        <c:axId val="124460416"/>
        <c:axId val="0"/>
      </c:bar3DChart>
      <c:catAx>
        <c:axId val="12445888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000" b="0" i="0" u="none" strike="noStrike" baseline="0">
                <a:solidFill>
                  <a:srgbClr val="000000"/>
                </a:solidFill>
                <a:latin typeface="Times New Roman CE"/>
                <a:ea typeface="Times New Roman CE"/>
                <a:cs typeface="Times New Roman CE"/>
              </a:defRPr>
            </a:pPr>
            <a:endParaRPr lang="cs-CZ"/>
          </a:p>
        </c:txPr>
        <c:crossAx val="124460416"/>
        <c:crosses val="autoZero"/>
        <c:auto val="1"/>
        <c:lblAlgn val="ctr"/>
        <c:lblOffset val="100"/>
        <c:tickLblSkip val="1"/>
        <c:tickMarkSkip val="1"/>
        <c:noMultiLvlLbl val="0"/>
      </c:catAx>
      <c:valAx>
        <c:axId val="12446041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4458880"/>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1" u="none" strike="noStrike" baseline="0">
                <a:solidFill>
                  <a:srgbClr val="000000"/>
                </a:solidFill>
                <a:latin typeface="Times New Roman" panose="02020603050405020304" pitchFamily="18" charset="0"/>
                <a:cs typeface="Times New Roman" panose="02020603050405020304" pitchFamily="18" charset="0"/>
              </a:rPr>
              <a:t>„</a:t>
            </a:r>
            <a:r>
              <a:rPr lang="cs-CZ" sz="1200" b="0" i="1" u="none" strike="noStrike" baseline="0"/>
              <a:t>Myslíte si, že zavedení elektronické evidence tržeb postupně přispěje </a:t>
            </a:r>
            <a:br>
              <a:rPr lang="cs-CZ" sz="1200" b="0" i="1" u="none" strike="noStrike" baseline="0"/>
            </a:br>
            <a:r>
              <a:rPr lang="cs-CZ" sz="1200" b="0" i="1" baseline="0"/>
              <a:t>ke zlepšení </a:t>
            </a:r>
            <a:r>
              <a:rPr lang="cs-CZ" sz="1200" b="0" i="1" u="sng" baseline="0"/>
              <a:t>výběru</a:t>
            </a:r>
            <a:r>
              <a:rPr lang="cs-CZ" sz="1200" b="0" i="1" baseline="0"/>
              <a:t> daní od obchodníků a poskytovatelů služeb?“</a:t>
            </a:r>
            <a:endParaRPr lang="cs-CZ" sz="1200" b="0" i="1" u="none" strike="noStrike" baseline="0">
              <a:solidFill>
                <a:srgbClr val="000000"/>
              </a:solidFill>
              <a:latin typeface="Times New Roman" panose="02020603050405020304" pitchFamily="18" charset="0"/>
              <a:cs typeface="Times New Roman" panose="02020603050405020304" pitchFamily="18" charset="0"/>
            </a:endParaRPr>
          </a:p>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zkušeností s hotovostními tržbami z podnikání</a:t>
            </a:r>
          </a:p>
        </c:rich>
      </c:tx>
      <c:layout>
        <c:manualLayout>
          <c:xMode val="edge"/>
          <c:yMode val="edge"/>
          <c:x val="0.133374945782225"/>
          <c:y val="9.3271251361164598E-4"/>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6"/>
          <c:w val="0.86890756302520999"/>
          <c:h val="0.642691415313227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99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3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8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30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Sheet1!$B$2:$B$3</c:f>
              <c:numCache>
                <c:formatCode>General</c:formatCode>
                <c:ptCount val="2"/>
                <c:pt idx="0">
                  <c:v>51</c:v>
                </c:pt>
                <c:pt idx="1">
                  <c:v>72</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2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207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8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Sheet1!$C$2:$C$3</c:f>
              <c:numCache>
                <c:formatCode>General</c:formatCode>
                <c:ptCount val="2"/>
                <c:pt idx="0">
                  <c:v>49</c:v>
                </c:pt>
                <c:pt idx="1">
                  <c:v>28</c:v>
                </c:pt>
              </c:numCache>
            </c:numRef>
          </c:val>
        </c:ser>
        <c:dLbls>
          <c:showLegendKey val="0"/>
          <c:showVal val="1"/>
          <c:showCatName val="0"/>
          <c:showSerName val="0"/>
          <c:showPercent val="0"/>
          <c:showBubbleSize val="0"/>
        </c:dLbls>
        <c:gapWidth val="150"/>
        <c:shape val="box"/>
        <c:axId val="124786944"/>
        <c:axId val="124792832"/>
        <c:axId val="0"/>
      </c:bar3DChart>
      <c:catAx>
        <c:axId val="124786944"/>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4792832"/>
        <c:crosses val="autoZero"/>
        <c:auto val="1"/>
        <c:lblAlgn val="ctr"/>
        <c:lblOffset val="100"/>
        <c:tickLblSkip val="1"/>
        <c:tickMarkSkip val="1"/>
        <c:noMultiLvlLbl val="0"/>
      </c:catAx>
      <c:valAx>
        <c:axId val="12479283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4786944"/>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46757679180887"/>
          <c:y val="0.17153284671532901"/>
          <c:w val="0.69624573378839605"/>
          <c:h val="0.66788321167883302"/>
        </c:manualLayout>
      </c:layout>
      <c:pie3DChart>
        <c:varyColors val="1"/>
        <c:ser>
          <c:idx val="0"/>
          <c:order val="0"/>
          <c:tx>
            <c:strRef>
              <c:f>Sheet1!$B$1</c:f>
              <c:strCache>
                <c:ptCount val="1"/>
              </c:strCache>
            </c:strRef>
          </c:tx>
          <c:spPr>
            <a:solidFill>
              <a:srgbClr val="000080"/>
            </a:solidFill>
            <a:ln w="12697">
              <a:solidFill>
                <a:srgbClr val="000000"/>
              </a:solidFill>
              <a:prstDash val="solid"/>
            </a:ln>
          </c:spPr>
          <c:dPt>
            <c:idx val="0"/>
            <c:bubble3D val="0"/>
            <c:spPr>
              <a:solidFill>
                <a:srgbClr val="FF0000"/>
              </a:solidFill>
              <a:ln w="12697">
                <a:solidFill>
                  <a:srgbClr val="000000"/>
                </a:solidFill>
                <a:prstDash val="solid"/>
              </a:ln>
            </c:spPr>
          </c:dPt>
          <c:dPt>
            <c:idx val="1"/>
            <c:bubble3D val="0"/>
            <c:spPr>
              <a:solidFill>
                <a:srgbClr val="FF8080"/>
              </a:solidFill>
              <a:ln w="12697">
                <a:solidFill>
                  <a:srgbClr val="000000"/>
                </a:solidFill>
                <a:prstDash val="solid"/>
              </a:ln>
            </c:spPr>
          </c:dPt>
          <c:dPt>
            <c:idx val="2"/>
            <c:bubble3D val="0"/>
            <c:spPr>
              <a:solidFill>
                <a:srgbClr val="CCFFFF"/>
              </a:solidFill>
              <a:ln w="12697">
                <a:solidFill>
                  <a:srgbClr val="000000"/>
                </a:solidFill>
                <a:prstDash val="solid"/>
              </a:ln>
            </c:spPr>
          </c:dPt>
          <c:dLbls>
            <c:dLbl>
              <c:idx val="0"/>
              <c:layout>
                <c:manualLayout>
                  <c:x val="-4.9464286437565098E-2"/>
                  <c:y val="-4.51411944779243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5.8713206178884203E-2"/>
                  <c:y val="0.148576224313992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2.0886498038831001E-2"/>
                  <c:y val="9.4763714608951596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7.1048679924508298E-3"/>
                  <c:y val="-3.86608152973624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23890784982935201"/>
                  <c:y val="0.131386861313869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95">
                <a:noFill/>
              </a:ln>
            </c:spPr>
            <c:txPr>
              <a:bodyPr/>
              <a:lstStyle/>
              <a:p>
                <a:pPr>
                  <a:defRPr sz="1200"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Sheet1!$A$2:$A$5</c:f>
              <c:strCache>
                <c:ptCount val="4"/>
                <c:pt idx="0">
                  <c:v>Určitě ano</c:v>
                </c:pt>
                <c:pt idx="1">
                  <c:v>Spíše ano</c:v>
                </c:pt>
                <c:pt idx="2">
                  <c:v>Spíše ne</c:v>
                </c:pt>
                <c:pt idx="3">
                  <c:v>Určitě ne</c:v>
                </c:pt>
              </c:strCache>
            </c:strRef>
          </c:cat>
          <c:val>
            <c:numRef>
              <c:f>Sheet1!$B$2:$B$5</c:f>
              <c:numCache>
                <c:formatCode>General</c:formatCode>
                <c:ptCount val="4"/>
                <c:pt idx="0">
                  <c:v>13</c:v>
                </c:pt>
                <c:pt idx="1">
                  <c:v>35</c:v>
                </c:pt>
                <c:pt idx="2">
                  <c:v>37</c:v>
                </c:pt>
                <c:pt idx="3">
                  <c:v>15</c:v>
                </c:pt>
              </c:numCache>
            </c:numRef>
          </c:val>
        </c:ser>
        <c:dLbls>
          <c:showLegendKey val="0"/>
          <c:showVal val="0"/>
          <c:showCatName val="1"/>
          <c:showSerName val="0"/>
          <c:showPercent val="1"/>
          <c:showBubbleSize val="0"/>
          <c:showLeaderLines val="0"/>
        </c:dLbls>
      </c:pie3DChart>
      <c:spPr>
        <a:noFill/>
        <a:ln w="25395">
          <a:noFill/>
        </a:ln>
      </c:spPr>
    </c:plotArea>
    <c:plotVisOnly val="1"/>
    <c:dispBlanksAs val="zero"/>
    <c:showDLblsOverMax val="0"/>
  </c:chart>
  <c:spPr>
    <a:noFill/>
    <a:ln>
      <a:noFill/>
    </a:ln>
  </c:spPr>
  <c:txPr>
    <a:bodyPr/>
    <a:lstStyle/>
    <a:p>
      <a:pPr>
        <a:defRPr sz="1100"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„Myslíte si, že zavedení elektronické evidence tržeb postupně přispěje </a:t>
            </a:r>
            <a:br>
              <a:rPr lang="cs-CZ" sz="1202" b="0" i="1" u="none" strike="noStrike" baseline="0">
                <a:effectLst/>
              </a:rPr>
            </a:br>
            <a:r>
              <a:rPr lang="cs-CZ" sz="1202" b="0" i="1" u="none" strike="noStrike" baseline="0">
                <a:effectLst/>
              </a:rPr>
              <a:t>k narovnání podnikatelského prostředí v ČR?“</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133374945782225"/>
          <c:y val="1.71008304508661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c:v>37</c:v>
                </c:pt>
                <c:pt idx="1">
                  <c:v>43</c:v>
                </c:pt>
                <c:pt idx="2">
                  <c:v>46</c:v>
                </c:pt>
                <c:pt idx="3">
                  <c:v>60</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63</c:v>
                </c:pt>
                <c:pt idx="1">
                  <c:v>57</c:v>
                </c:pt>
                <c:pt idx="2">
                  <c:v>54</c:v>
                </c:pt>
                <c:pt idx="3">
                  <c:v>40</c:v>
                </c:pt>
              </c:numCache>
            </c:numRef>
          </c:val>
        </c:ser>
        <c:dLbls>
          <c:showLegendKey val="0"/>
          <c:showVal val="1"/>
          <c:showCatName val="0"/>
          <c:showSerName val="0"/>
          <c:showPercent val="0"/>
          <c:showBubbleSize val="0"/>
        </c:dLbls>
        <c:gapWidth val="150"/>
        <c:shape val="box"/>
        <c:axId val="126248064"/>
        <c:axId val="126249600"/>
        <c:axId val="0"/>
      </c:bar3DChart>
      <c:catAx>
        <c:axId val="126248064"/>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249600"/>
        <c:crosses val="autoZero"/>
        <c:auto val="1"/>
        <c:lblAlgn val="ctr"/>
        <c:lblOffset val="100"/>
        <c:tickLblSkip val="1"/>
        <c:tickMarkSkip val="1"/>
        <c:noMultiLvlLbl val="0"/>
      </c:catAx>
      <c:valAx>
        <c:axId val="126249600"/>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248064"/>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„Myslíte si, že zavedení elektronické evidence tržeb postupně přispěje </a:t>
            </a:r>
            <a:br>
              <a:rPr lang="cs-CZ" sz="1202" b="0" i="1" u="none" strike="noStrike" baseline="0">
                <a:effectLst/>
              </a:rPr>
            </a:br>
            <a:r>
              <a:rPr lang="cs-CZ" sz="1202" b="0" i="1" u="none" strike="noStrike" baseline="0">
                <a:effectLst/>
              </a:rPr>
              <a:t>k narovnání podnikatelského prostředí v ČR?“</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pohlaví</a:t>
            </a:r>
          </a:p>
        </c:rich>
      </c:tx>
      <c:layout>
        <c:manualLayout>
          <c:xMode val="edge"/>
          <c:yMode val="edge"/>
          <c:x val="0.133374945782225"/>
          <c:y val="1.71008304508661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Sheet1!$B$2:$B$3</c:f>
              <c:numCache>
                <c:formatCode>General</c:formatCode>
                <c:ptCount val="2"/>
                <c:pt idx="0">
                  <c:v>51</c:v>
                </c:pt>
                <c:pt idx="1">
                  <c:v>44</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Sheet1!$C$2:$C$3</c:f>
              <c:numCache>
                <c:formatCode>General</c:formatCode>
                <c:ptCount val="2"/>
                <c:pt idx="0">
                  <c:v>49</c:v>
                </c:pt>
                <c:pt idx="1">
                  <c:v>56</c:v>
                </c:pt>
              </c:numCache>
            </c:numRef>
          </c:val>
        </c:ser>
        <c:dLbls>
          <c:showLegendKey val="0"/>
          <c:showVal val="1"/>
          <c:showCatName val="0"/>
          <c:showSerName val="0"/>
          <c:showPercent val="0"/>
          <c:showBubbleSize val="0"/>
        </c:dLbls>
        <c:gapWidth val="150"/>
        <c:shape val="box"/>
        <c:axId val="126313600"/>
        <c:axId val="126315136"/>
        <c:axId val="0"/>
      </c:bar3DChart>
      <c:catAx>
        <c:axId val="12631360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315136"/>
        <c:crosses val="autoZero"/>
        <c:auto val="1"/>
        <c:lblAlgn val="ctr"/>
        <c:lblOffset val="100"/>
        <c:tickLblSkip val="1"/>
        <c:tickMarkSkip val="1"/>
        <c:noMultiLvlLbl val="0"/>
      </c:catAx>
      <c:valAx>
        <c:axId val="12631513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313600"/>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„Myslíte si, že zavedení elektronické evidence tržeb postupně přispěje </a:t>
            </a:r>
            <a:br>
              <a:rPr lang="cs-CZ" sz="1202" b="0" i="1" u="none" strike="noStrike" baseline="0">
                <a:effectLst/>
              </a:rPr>
            </a:br>
            <a:r>
              <a:rPr lang="cs-CZ" sz="1202" b="0" i="1" u="none" strike="noStrike" baseline="0">
                <a:effectLst/>
              </a:rPr>
              <a:t>k narovnání podnikatelského prostředí v ČR?“</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sympatizantů politických stran</a:t>
            </a:r>
          </a:p>
        </c:rich>
      </c:tx>
      <c:layout>
        <c:manualLayout>
          <c:xMode val="edge"/>
          <c:yMode val="edge"/>
          <c:x val="0.14657956240732301"/>
          <c:y val="2.34581095354179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6.5432687733864306E-2"/>
          <c:y val="0.185614849187935"/>
          <c:w val="0.92620074933600005"/>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34690243434559E-3"/>
                  <c:y val="-1.047201527042719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1640101762192497E-5"/>
                  <c:y val="1.27462117372764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5524231078018303E-4"/>
                  <c:y val="-1.7587669935933602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1.92004136753387E-4"/>
                  <c:y val="-9.6453760132462502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ANO</c:v>
                </c:pt>
                <c:pt idx="1">
                  <c:v>ČSSD</c:v>
                </c:pt>
                <c:pt idx="2">
                  <c:v>KSČM</c:v>
                </c:pt>
                <c:pt idx="3">
                  <c:v>KDU-ČSL</c:v>
                </c:pt>
                <c:pt idx="4">
                  <c:v>TOP 09</c:v>
                </c:pt>
                <c:pt idx="5">
                  <c:v>SPD (Okamura)</c:v>
                </c:pt>
                <c:pt idx="6">
                  <c:v>ODS</c:v>
                </c:pt>
              </c:strCache>
            </c:strRef>
          </c:cat>
          <c:val>
            <c:numRef>
              <c:f>Sheet1!$B$2:$B$8</c:f>
              <c:numCache>
                <c:formatCode>General</c:formatCode>
                <c:ptCount val="7"/>
                <c:pt idx="0">
                  <c:v>74</c:v>
                </c:pt>
                <c:pt idx="1">
                  <c:v>64</c:v>
                </c:pt>
                <c:pt idx="2">
                  <c:v>54</c:v>
                </c:pt>
                <c:pt idx="3">
                  <c:v>34</c:v>
                </c:pt>
                <c:pt idx="4">
                  <c:v>20</c:v>
                </c:pt>
                <c:pt idx="5">
                  <c:v>37</c:v>
                </c:pt>
                <c:pt idx="6">
                  <c:v>25</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2153257078116398E-3"/>
                  <c:y val="-1.3151470341257799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5524231078018303E-4"/>
                  <c:y val="2.6550311497593598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2.0087653007628699E-3"/>
                  <c:y val="1.48482229758663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4.40153887503251E-3"/>
                  <c:y val="6.3568383688753201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ANO</c:v>
                </c:pt>
                <c:pt idx="1">
                  <c:v>ČSSD</c:v>
                </c:pt>
                <c:pt idx="2">
                  <c:v>KSČM</c:v>
                </c:pt>
                <c:pt idx="3">
                  <c:v>KDU-ČSL</c:v>
                </c:pt>
                <c:pt idx="4">
                  <c:v>TOP 09</c:v>
                </c:pt>
                <c:pt idx="5">
                  <c:v>SPD (Okamura)</c:v>
                </c:pt>
                <c:pt idx="6">
                  <c:v>ODS</c:v>
                </c:pt>
              </c:strCache>
            </c:strRef>
          </c:cat>
          <c:val>
            <c:numRef>
              <c:f>Sheet1!$C$2:$C$8</c:f>
              <c:numCache>
                <c:formatCode>General</c:formatCode>
                <c:ptCount val="7"/>
                <c:pt idx="0">
                  <c:v>26</c:v>
                </c:pt>
                <c:pt idx="1">
                  <c:v>36</c:v>
                </c:pt>
                <c:pt idx="2">
                  <c:v>46</c:v>
                </c:pt>
                <c:pt idx="3">
                  <c:v>66</c:v>
                </c:pt>
                <c:pt idx="4">
                  <c:v>80</c:v>
                </c:pt>
                <c:pt idx="5">
                  <c:v>63</c:v>
                </c:pt>
                <c:pt idx="6">
                  <c:v>75</c:v>
                </c:pt>
              </c:numCache>
            </c:numRef>
          </c:val>
        </c:ser>
        <c:dLbls>
          <c:showLegendKey val="0"/>
          <c:showVal val="1"/>
          <c:showCatName val="0"/>
          <c:showSerName val="0"/>
          <c:showPercent val="0"/>
          <c:showBubbleSize val="0"/>
        </c:dLbls>
        <c:gapWidth val="150"/>
        <c:shape val="box"/>
        <c:axId val="125945344"/>
        <c:axId val="125946496"/>
        <c:axId val="0"/>
      </c:bar3DChart>
      <c:catAx>
        <c:axId val="125945344"/>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000" b="0" i="0" u="none" strike="noStrike" baseline="0">
                <a:solidFill>
                  <a:srgbClr val="000000"/>
                </a:solidFill>
                <a:latin typeface="Times New Roman CE"/>
                <a:ea typeface="Times New Roman CE"/>
                <a:cs typeface="Times New Roman CE"/>
              </a:defRPr>
            </a:pPr>
            <a:endParaRPr lang="cs-CZ"/>
          </a:p>
        </c:txPr>
        <c:crossAx val="125946496"/>
        <c:crosses val="autoZero"/>
        <c:auto val="1"/>
        <c:lblAlgn val="ctr"/>
        <c:lblOffset val="100"/>
        <c:tickLblSkip val="1"/>
        <c:tickMarkSkip val="1"/>
        <c:noMultiLvlLbl val="0"/>
      </c:catAx>
      <c:valAx>
        <c:axId val="12594649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5945344"/>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1" u="none" strike="noStrike" baseline="0">
                <a:solidFill>
                  <a:srgbClr val="000000"/>
                </a:solidFill>
                <a:latin typeface="Times New Roman" panose="02020603050405020304" pitchFamily="18" charset="0"/>
                <a:cs typeface="Times New Roman" panose="02020603050405020304" pitchFamily="18" charset="0"/>
              </a:rPr>
              <a:t>„</a:t>
            </a:r>
            <a:r>
              <a:rPr lang="cs-CZ" sz="1200" b="0" i="1" u="none" strike="noStrike" baseline="0"/>
              <a:t>Myslíte si, že zavedení elektronické evidence tržeb postupně přispěje </a:t>
            </a:r>
            <a:br>
              <a:rPr lang="cs-CZ" sz="1200" b="0" i="1" u="none" strike="noStrike" baseline="0"/>
            </a:br>
            <a:r>
              <a:rPr lang="cs-CZ" sz="1202" b="0" i="1" u="none" strike="noStrike" baseline="0"/>
              <a:t>k narovnání podnikatelského prostředí v ČR</a:t>
            </a:r>
            <a:r>
              <a:rPr lang="cs-CZ" sz="1200" b="0" i="1" baseline="0"/>
              <a:t>?“</a:t>
            </a:r>
            <a:endParaRPr lang="cs-CZ" sz="1200" b="0" i="1" u="none" strike="noStrike" baseline="0">
              <a:solidFill>
                <a:srgbClr val="000000"/>
              </a:solidFill>
              <a:latin typeface="Times New Roman" panose="02020603050405020304" pitchFamily="18" charset="0"/>
              <a:cs typeface="Times New Roman" panose="02020603050405020304" pitchFamily="18" charset="0"/>
            </a:endParaRPr>
          </a:p>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zkušeností s hotovostními tržbami z podnikání</a:t>
            </a:r>
          </a:p>
        </c:rich>
      </c:tx>
      <c:layout>
        <c:manualLayout>
          <c:xMode val="edge"/>
          <c:yMode val="edge"/>
          <c:x val="0.133374945782225"/>
          <c:y val="9.3271251361164598E-4"/>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6"/>
          <c:w val="0.86890756302520999"/>
          <c:h val="0.642691415313228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70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97E-3"/>
                  <c:y val="-4.1150623180721399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3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8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30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Sheet1!$B$2:$B$3</c:f>
              <c:numCache>
                <c:formatCode>General</c:formatCode>
                <c:ptCount val="2"/>
                <c:pt idx="0">
                  <c:v>36</c:v>
                </c:pt>
                <c:pt idx="1">
                  <c:v>51</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99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2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294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8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Sheet1!$C$2:$C$3</c:f>
              <c:numCache>
                <c:formatCode>General</c:formatCode>
                <c:ptCount val="2"/>
                <c:pt idx="0">
                  <c:v>64</c:v>
                </c:pt>
                <c:pt idx="1">
                  <c:v>49</c:v>
                </c:pt>
              </c:numCache>
            </c:numRef>
          </c:val>
        </c:ser>
        <c:dLbls>
          <c:showLegendKey val="0"/>
          <c:showVal val="1"/>
          <c:showCatName val="0"/>
          <c:showSerName val="0"/>
          <c:showPercent val="0"/>
          <c:showBubbleSize val="0"/>
        </c:dLbls>
        <c:gapWidth val="150"/>
        <c:shape val="box"/>
        <c:axId val="126031360"/>
        <c:axId val="126032896"/>
        <c:axId val="0"/>
      </c:bar3DChart>
      <c:catAx>
        <c:axId val="12603136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032896"/>
        <c:crosses val="autoZero"/>
        <c:auto val="1"/>
        <c:lblAlgn val="ctr"/>
        <c:lblOffset val="100"/>
        <c:tickLblSkip val="1"/>
        <c:tickMarkSkip val="1"/>
        <c:noMultiLvlLbl val="0"/>
      </c:catAx>
      <c:valAx>
        <c:axId val="12603289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031360"/>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46757679180887"/>
          <c:y val="0.17153284671532901"/>
          <c:w val="0.69624573378839605"/>
          <c:h val="0.66788321167883302"/>
        </c:manualLayout>
      </c:layout>
      <c:pie3DChart>
        <c:varyColors val="1"/>
        <c:ser>
          <c:idx val="0"/>
          <c:order val="0"/>
          <c:tx>
            <c:strRef>
              <c:f>Sheet1!$B$1</c:f>
              <c:strCache>
                <c:ptCount val="1"/>
              </c:strCache>
            </c:strRef>
          </c:tx>
          <c:spPr>
            <a:solidFill>
              <a:srgbClr val="000080"/>
            </a:solidFill>
            <a:ln w="12697">
              <a:solidFill>
                <a:srgbClr val="000000"/>
              </a:solidFill>
              <a:prstDash val="solid"/>
            </a:ln>
          </c:spPr>
          <c:dPt>
            <c:idx val="0"/>
            <c:bubble3D val="0"/>
            <c:spPr>
              <a:solidFill>
                <a:srgbClr val="FF0000"/>
              </a:solidFill>
              <a:ln w="12697">
                <a:solidFill>
                  <a:srgbClr val="000000"/>
                </a:solidFill>
                <a:prstDash val="solid"/>
              </a:ln>
            </c:spPr>
          </c:dPt>
          <c:dPt>
            <c:idx val="1"/>
            <c:bubble3D val="0"/>
            <c:spPr>
              <a:solidFill>
                <a:srgbClr val="FF8080"/>
              </a:solidFill>
              <a:ln w="12697">
                <a:solidFill>
                  <a:srgbClr val="000000"/>
                </a:solidFill>
                <a:prstDash val="solid"/>
              </a:ln>
            </c:spPr>
          </c:dPt>
          <c:dPt>
            <c:idx val="2"/>
            <c:bubble3D val="0"/>
            <c:spPr>
              <a:solidFill>
                <a:srgbClr val="CCFFFF"/>
              </a:solidFill>
              <a:ln w="12697">
                <a:solidFill>
                  <a:srgbClr val="000000"/>
                </a:solidFill>
                <a:prstDash val="solid"/>
              </a:ln>
            </c:spPr>
          </c:dPt>
          <c:dLbls>
            <c:dLbl>
              <c:idx val="0"/>
              <c:layout>
                <c:manualLayout>
                  <c:x val="-7.6302355146190895E-2"/>
                  <c:y val="-9.424245012254239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0.160464354941559"/>
                  <c:y val="-6.2716399380503995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7.4674636845181502E-3"/>
                  <c:y val="-2.7316464672344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4.8258510476620498E-2"/>
                  <c:y val="-2.315605082707309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23890784982935201"/>
                  <c:y val="0.131386861313869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95">
                <a:noFill/>
              </a:ln>
            </c:spPr>
            <c:txPr>
              <a:bodyPr/>
              <a:lstStyle/>
              <a:p>
                <a:pPr>
                  <a:defRPr sz="1200"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Sheet1!$A$2:$A$5</c:f>
              <c:strCache>
                <c:ptCount val="4"/>
                <c:pt idx="0">
                  <c:v>Určitě ano</c:v>
                </c:pt>
                <c:pt idx="1">
                  <c:v>Spíše ano</c:v>
                </c:pt>
                <c:pt idx="2">
                  <c:v>Spíše ne</c:v>
                </c:pt>
                <c:pt idx="3">
                  <c:v>Určitě ne</c:v>
                </c:pt>
              </c:strCache>
            </c:strRef>
          </c:cat>
          <c:val>
            <c:numRef>
              <c:f>Sheet1!$B$2:$B$5</c:f>
              <c:numCache>
                <c:formatCode>General</c:formatCode>
                <c:ptCount val="4"/>
                <c:pt idx="0">
                  <c:v>26</c:v>
                </c:pt>
                <c:pt idx="1">
                  <c:v>36</c:v>
                </c:pt>
                <c:pt idx="2">
                  <c:v>29</c:v>
                </c:pt>
                <c:pt idx="3">
                  <c:v>9</c:v>
                </c:pt>
              </c:numCache>
            </c:numRef>
          </c:val>
        </c:ser>
        <c:dLbls>
          <c:showLegendKey val="0"/>
          <c:showVal val="0"/>
          <c:showCatName val="1"/>
          <c:showSerName val="0"/>
          <c:showPercent val="1"/>
          <c:showBubbleSize val="0"/>
          <c:showLeaderLines val="0"/>
        </c:dLbls>
      </c:pie3DChart>
      <c:spPr>
        <a:noFill/>
        <a:ln w="25395">
          <a:noFill/>
        </a:ln>
      </c:spPr>
    </c:plotArea>
    <c:plotVisOnly val="1"/>
    <c:dispBlanksAs val="zero"/>
    <c:showDLblsOverMax val="0"/>
  </c:chart>
  <c:spPr>
    <a:noFill/>
    <a:ln>
      <a:noFill/>
    </a:ln>
  </c:spPr>
  <c:txPr>
    <a:bodyPr/>
    <a:lstStyle/>
    <a:p>
      <a:pPr>
        <a:defRPr sz="1100"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0"/>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6.1732022543953199E-2"/>
          <c:w val="0.86890756302520999"/>
          <c:h val="0.76659271269894702"/>
        </c:manualLayout>
      </c:layout>
      <c:bar3DChart>
        <c:barDir val="col"/>
        <c:grouping val="stacked"/>
        <c:varyColors val="0"/>
        <c:ser>
          <c:idx val="0"/>
          <c:order val="0"/>
          <c:tx>
            <c:strRef>
              <c:f>Sheet1!$B$1</c:f>
              <c:strCache>
                <c:ptCount val="1"/>
                <c:pt idx="0">
                  <c:v>Ano (určitě ano+spíše ano)</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Sheet1!$B$2:$B$3</c:f>
              <c:numCache>
                <c:formatCode>General</c:formatCode>
                <c:ptCount val="2"/>
                <c:pt idx="0">
                  <c:v>65</c:v>
                </c:pt>
                <c:pt idx="1">
                  <c:v>62</c:v>
                </c:pt>
              </c:numCache>
            </c:numRef>
          </c:val>
        </c:ser>
        <c:ser>
          <c:idx val="1"/>
          <c:order val="1"/>
          <c:tx>
            <c:strRef>
              <c:f>Sheet1!$C$1</c:f>
              <c:strCache>
                <c:ptCount val="1"/>
                <c:pt idx="0">
                  <c:v>Ne (určitě ne+spíše ne)</c:v>
                </c:pt>
              </c:strCache>
            </c:strRef>
          </c:tx>
          <c:spPr>
            <a:solidFill>
              <a:srgbClr val="33CC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Sheet1!$C$2:$C$3</c:f>
              <c:numCache>
                <c:formatCode>General</c:formatCode>
                <c:ptCount val="2"/>
                <c:pt idx="0">
                  <c:v>35</c:v>
                </c:pt>
                <c:pt idx="1">
                  <c:v>38</c:v>
                </c:pt>
              </c:numCache>
            </c:numRef>
          </c:val>
        </c:ser>
        <c:dLbls>
          <c:showLegendKey val="0"/>
          <c:showVal val="1"/>
          <c:showCatName val="0"/>
          <c:showSerName val="0"/>
          <c:showPercent val="0"/>
          <c:showBubbleSize val="0"/>
        </c:dLbls>
        <c:gapWidth val="150"/>
        <c:shape val="box"/>
        <c:axId val="126137856"/>
        <c:axId val="126139392"/>
        <c:axId val="0"/>
      </c:bar3DChart>
      <c:catAx>
        <c:axId val="12613785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139392"/>
        <c:crosses val="autoZero"/>
        <c:auto val="1"/>
        <c:lblAlgn val="ctr"/>
        <c:lblOffset val="100"/>
        <c:tickLblSkip val="1"/>
        <c:tickMarkSkip val="1"/>
        <c:noMultiLvlLbl val="0"/>
      </c:catAx>
      <c:valAx>
        <c:axId val="12613939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137856"/>
        <c:crosses val="autoZero"/>
        <c:crossBetween val="between"/>
        <c:majorUnit val="20"/>
      </c:valAx>
      <c:spPr>
        <a:noFill/>
        <a:ln w="25415">
          <a:noFill/>
        </a:ln>
      </c:spPr>
    </c:plotArea>
    <c:legend>
      <c:legendPos val="b"/>
      <c:layout>
        <c:manualLayout>
          <c:xMode val="edge"/>
          <c:yMode val="edge"/>
          <c:x val="0.173871876055438"/>
          <c:y val="0.89553257955194498"/>
          <c:w val="0.640326864515261"/>
          <c:h val="6.7607314449167399E-2"/>
        </c:manualLayout>
      </c:layout>
      <c:overlay val="0"/>
      <c:spPr>
        <a:noFill/>
        <a:ln w="3177">
          <a:noFill/>
          <a:prstDash val="solid"/>
        </a:ln>
      </c:spPr>
      <c:txPr>
        <a:bodyPr/>
        <a:lstStyle/>
        <a:p>
          <a:pPr>
            <a:defRPr sz="12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„Má podle Vás zavedení elektronické evidence tržeb nějaká rizika?“</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133374945782225"/>
          <c:y val="1.71008304508661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c:v>69</c:v>
                </c:pt>
                <c:pt idx="1">
                  <c:v>63</c:v>
                </c:pt>
                <c:pt idx="2">
                  <c:v>64</c:v>
                </c:pt>
                <c:pt idx="3">
                  <c:v>56</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31</c:v>
                </c:pt>
                <c:pt idx="1">
                  <c:v>37</c:v>
                </c:pt>
                <c:pt idx="2">
                  <c:v>36</c:v>
                </c:pt>
                <c:pt idx="3">
                  <c:v>44</c:v>
                </c:pt>
              </c:numCache>
            </c:numRef>
          </c:val>
        </c:ser>
        <c:dLbls>
          <c:showLegendKey val="0"/>
          <c:showVal val="1"/>
          <c:showCatName val="0"/>
          <c:showSerName val="0"/>
          <c:showPercent val="0"/>
          <c:showBubbleSize val="0"/>
        </c:dLbls>
        <c:gapWidth val="150"/>
        <c:shape val="box"/>
        <c:axId val="126661760"/>
        <c:axId val="126663296"/>
        <c:axId val="0"/>
      </c:bar3DChart>
      <c:catAx>
        <c:axId val="12666176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663296"/>
        <c:crosses val="autoZero"/>
        <c:auto val="1"/>
        <c:lblAlgn val="ctr"/>
        <c:lblOffset val="100"/>
        <c:tickLblSkip val="1"/>
        <c:tickMarkSkip val="1"/>
        <c:noMultiLvlLbl val="0"/>
      </c:catAx>
      <c:valAx>
        <c:axId val="12666329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661760"/>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1" u="none" strike="noStrike" baseline="0">
                <a:solidFill>
                  <a:srgbClr val="000000"/>
                </a:solidFill>
                <a:latin typeface="Times New Roman" panose="02020603050405020304" pitchFamily="18" charset="0"/>
                <a:cs typeface="Times New Roman" panose="02020603050405020304" pitchFamily="18" charset="0"/>
              </a:rPr>
              <a:t>„Zvážíte-li všechna pro a proti, řekl(a) byste, že daňová morálka obchodníků, prodejců zboží a služeb je dnes v ČR:“</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pohlaví</a:t>
            </a:r>
          </a:p>
        </c:rich>
      </c:tx>
      <c:layout>
        <c:manualLayout>
          <c:xMode val="edge"/>
          <c:yMode val="edge"/>
          <c:x val="0.16638655462184901"/>
          <c:y val="1.3921113689095099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Velmi+spíše dobrá</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Sheet1!$B$2:$B$3</c:f>
              <c:numCache>
                <c:formatCode>General</c:formatCode>
                <c:ptCount val="2"/>
                <c:pt idx="0">
                  <c:v>52</c:v>
                </c:pt>
                <c:pt idx="1">
                  <c:v>45</c:v>
                </c:pt>
              </c:numCache>
            </c:numRef>
          </c:val>
        </c:ser>
        <c:ser>
          <c:idx val="1"/>
          <c:order val="1"/>
          <c:tx>
            <c:strRef>
              <c:f>Sheet1!$C$1</c:f>
              <c:strCache>
                <c:ptCount val="1"/>
                <c:pt idx="0">
                  <c:v>Velmi+spíše špatná</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Sheet1!$C$2:$C$3</c:f>
              <c:numCache>
                <c:formatCode>General</c:formatCode>
                <c:ptCount val="2"/>
                <c:pt idx="0">
                  <c:v>48</c:v>
                </c:pt>
                <c:pt idx="1">
                  <c:v>55</c:v>
                </c:pt>
              </c:numCache>
            </c:numRef>
          </c:val>
        </c:ser>
        <c:dLbls>
          <c:showLegendKey val="0"/>
          <c:showVal val="1"/>
          <c:showCatName val="0"/>
          <c:showSerName val="0"/>
          <c:showPercent val="0"/>
          <c:showBubbleSize val="0"/>
        </c:dLbls>
        <c:gapWidth val="150"/>
        <c:shape val="box"/>
        <c:axId val="114148864"/>
        <c:axId val="114150400"/>
        <c:axId val="0"/>
      </c:bar3DChart>
      <c:catAx>
        <c:axId val="114148864"/>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4150400"/>
        <c:crosses val="autoZero"/>
        <c:auto val="1"/>
        <c:lblAlgn val="ctr"/>
        <c:lblOffset val="100"/>
        <c:tickLblSkip val="1"/>
        <c:tickMarkSkip val="1"/>
        <c:noMultiLvlLbl val="0"/>
      </c:catAx>
      <c:valAx>
        <c:axId val="114150400"/>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4148864"/>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„Má podle Vás zavedení elektronické evidence tržeb nějaká rizika?“</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pohlaví</a:t>
            </a:r>
          </a:p>
        </c:rich>
      </c:tx>
      <c:layout>
        <c:manualLayout>
          <c:xMode val="edge"/>
          <c:yMode val="edge"/>
          <c:x val="0.135575872428294"/>
          <c:y val="3.4759406619290001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Sheet1!$B$2:$B$3</c:f>
              <c:numCache>
                <c:formatCode>General</c:formatCode>
                <c:ptCount val="2"/>
                <c:pt idx="0">
                  <c:v>60</c:v>
                </c:pt>
                <c:pt idx="1">
                  <c:v>65</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Sheet1!$C$2:$C$3</c:f>
              <c:numCache>
                <c:formatCode>General</c:formatCode>
                <c:ptCount val="2"/>
                <c:pt idx="0">
                  <c:v>40</c:v>
                </c:pt>
                <c:pt idx="1">
                  <c:v>35</c:v>
                </c:pt>
              </c:numCache>
            </c:numRef>
          </c:val>
        </c:ser>
        <c:dLbls>
          <c:showLegendKey val="0"/>
          <c:showVal val="1"/>
          <c:showCatName val="0"/>
          <c:showSerName val="0"/>
          <c:showPercent val="0"/>
          <c:showBubbleSize val="0"/>
        </c:dLbls>
        <c:gapWidth val="150"/>
        <c:shape val="box"/>
        <c:axId val="126563456"/>
        <c:axId val="126564992"/>
        <c:axId val="0"/>
      </c:bar3DChart>
      <c:catAx>
        <c:axId val="12656345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564992"/>
        <c:crosses val="autoZero"/>
        <c:auto val="1"/>
        <c:lblAlgn val="ctr"/>
        <c:lblOffset val="100"/>
        <c:tickLblSkip val="1"/>
        <c:tickMarkSkip val="1"/>
        <c:noMultiLvlLbl val="0"/>
      </c:catAx>
      <c:valAx>
        <c:axId val="12656499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563456"/>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„Má podle Vás zavedení elektronické evidence tržeb nějaká rizika?“</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sympatizantů politických stran</a:t>
            </a:r>
          </a:p>
        </c:rich>
      </c:tx>
      <c:layout>
        <c:manualLayout>
          <c:xMode val="edge"/>
          <c:yMode val="edge"/>
          <c:x val="0.14657956240732301"/>
          <c:y val="5.15687717531444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6.5432687733864306E-2"/>
          <c:y val="0.185614849187935"/>
          <c:w val="0.92620074933600005"/>
          <c:h val="0.642691415313226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34690243434559E-3"/>
                  <c:y val="-1.047201527042719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1640101762192497E-5"/>
                  <c:y val="1.27462117372764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5524231078018303E-4"/>
                  <c:y val="-1.7587669935933602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1.92004136753387E-4"/>
                  <c:y val="-9.6453760132462502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ANO</c:v>
                </c:pt>
                <c:pt idx="1">
                  <c:v>ČSSD</c:v>
                </c:pt>
                <c:pt idx="2">
                  <c:v>KSČM</c:v>
                </c:pt>
                <c:pt idx="3">
                  <c:v>KDU-ČSL</c:v>
                </c:pt>
                <c:pt idx="4">
                  <c:v>TOP 09</c:v>
                </c:pt>
                <c:pt idx="5">
                  <c:v>SPD (Okamura)</c:v>
                </c:pt>
                <c:pt idx="6">
                  <c:v>ODS</c:v>
                </c:pt>
              </c:strCache>
            </c:strRef>
          </c:cat>
          <c:val>
            <c:numRef>
              <c:f>Sheet1!$B$2:$B$8</c:f>
              <c:numCache>
                <c:formatCode>General</c:formatCode>
                <c:ptCount val="7"/>
                <c:pt idx="0">
                  <c:v>41</c:v>
                </c:pt>
                <c:pt idx="1">
                  <c:v>57</c:v>
                </c:pt>
                <c:pt idx="2">
                  <c:v>59</c:v>
                </c:pt>
                <c:pt idx="3">
                  <c:v>76</c:v>
                </c:pt>
                <c:pt idx="4">
                  <c:v>84</c:v>
                </c:pt>
                <c:pt idx="5">
                  <c:v>73</c:v>
                </c:pt>
                <c:pt idx="6">
                  <c:v>85</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2153257078116398E-3"/>
                  <c:y val="1.4957247459226699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5524231078018303E-4"/>
                  <c:y val="9.68524931659899E-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2.0087653007628699E-3"/>
                  <c:y val="1.48482229758663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4.40153887503251E-3"/>
                  <c:y val="6.3568383688753201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ANO</c:v>
                </c:pt>
                <c:pt idx="1">
                  <c:v>ČSSD</c:v>
                </c:pt>
                <c:pt idx="2">
                  <c:v>KSČM</c:v>
                </c:pt>
                <c:pt idx="3">
                  <c:v>KDU-ČSL</c:v>
                </c:pt>
                <c:pt idx="4">
                  <c:v>TOP 09</c:v>
                </c:pt>
                <c:pt idx="5">
                  <c:v>SPD (Okamura)</c:v>
                </c:pt>
                <c:pt idx="6">
                  <c:v>ODS</c:v>
                </c:pt>
              </c:strCache>
            </c:strRef>
          </c:cat>
          <c:val>
            <c:numRef>
              <c:f>Sheet1!$C$2:$C$8</c:f>
              <c:numCache>
                <c:formatCode>General</c:formatCode>
                <c:ptCount val="7"/>
                <c:pt idx="0">
                  <c:v>59</c:v>
                </c:pt>
                <c:pt idx="1">
                  <c:v>43</c:v>
                </c:pt>
                <c:pt idx="2">
                  <c:v>41</c:v>
                </c:pt>
                <c:pt idx="3">
                  <c:v>24</c:v>
                </c:pt>
                <c:pt idx="4">
                  <c:v>16</c:v>
                </c:pt>
                <c:pt idx="5">
                  <c:v>27</c:v>
                </c:pt>
                <c:pt idx="6">
                  <c:v>15</c:v>
                </c:pt>
              </c:numCache>
            </c:numRef>
          </c:val>
        </c:ser>
        <c:dLbls>
          <c:showLegendKey val="0"/>
          <c:showVal val="1"/>
          <c:showCatName val="0"/>
          <c:showSerName val="0"/>
          <c:showPercent val="0"/>
          <c:showBubbleSize val="0"/>
        </c:dLbls>
        <c:gapWidth val="150"/>
        <c:shape val="box"/>
        <c:axId val="126518400"/>
        <c:axId val="126519936"/>
        <c:axId val="0"/>
      </c:bar3DChart>
      <c:catAx>
        <c:axId val="12651840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000" b="0" i="0" u="none" strike="noStrike" baseline="0">
                <a:solidFill>
                  <a:srgbClr val="000000"/>
                </a:solidFill>
                <a:latin typeface="Times New Roman CE"/>
                <a:ea typeface="Times New Roman CE"/>
                <a:cs typeface="Times New Roman CE"/>
              </a:defRPr>
            </a:pPr>
            <a:endParaRPr lang="cs-CZ"/>
          </a:p>
        </c:txPr>
        <c:crossAx val="126519936"/>
        <c:crosses val="autoZero"/>
        <c:auto val="1"/>
        <c:lblAlgn val="ctr"/>
        <c:lblOffset val="100"/>
        <c:tickLblSkip val="1"/>
        <c:tickMarkSkip val="1"/>
        <c:noMultiLvlLbl val="0"/>
      </c:catAx>
      <c:valAx>
        <c:axId val="12651993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518400"/>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1" u="none" strike="noStrike" baseline="0">
                <a:solidFill>
                  <a:srgbClr val="000000"/>
                </a:solidFill>
                <a:latin typeface="Times New Roman" panose="02020603050405020304" pitchFamily="18" charset="0"/>
                <a:cs typeface="Times New Roman" panose="02020603050405020304" pitchFamily="18" charset="0"/>
              </a:rPr>
              <a:t>„</a:t>
            </a:r>
            <a:r>
              <a:rPr lang="cs-CZ" sz="1202" b="0" i="1" u="none" strike="noStrike" baseline="0"/>
              <a:t>Má podle Vás zavedení elektronické evidence tržeb nějaká rizika?“ </a:t>
            </a:r>
            <a:endParaRPr lang="cs-CZ" sz="1200" b="0" i="1" u="none" strike="noStrike" baseline="0">
              <a:solidFill>
                <a:srgbClr val="000000"/>
              </a:solidFill>
              <a:latin typeface="Times New Roman" panose="02020603050405020304" pitchFamily="18" charset="0"/>
              <a:cs typeface="Times New Roman" panose="02020603050405020304" pitchFamily="18" charset="0"/>
            </a:endParaRPr>
          </a:p>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zkušeností s hotovostními tržbami z podnikání</a:t>
            </a:r>
          </a:p>
        </c:rich>
      </c:tx>
      <c:layout>
        <c:manualLayout>
          <c:xMode val="edge"/>
          <c:yMode val="edge"/>
          <c:x val="0.13557571521974199"/>
          <c:y val="2.5238134295713002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6"/>
          <c:w val="0.86890756302520999"/>
          <c:h val="0.64269141531322804"/>
        </c:manualLayout>
      </c:layout>
      <c:bar3DChart>
        <c:barDir val="col"/>
        <c:grouping val="stacked"/>
        <c:varyColors val="0"/>
        <c:ser>
          <c:idx val="0"/>
          <c:order val="0"/>
          <c:tx>
            <c:strRef>
              <c:f>Sheet1!$B$1</c:f>
              <c:strCache>
                <c:ptCount val="1"/>
                <c:pt idx="0">
                  <c:v>Určitě+spíše ano</c:v>
                </c:pt>
              </c:strCache>
            </c:strRef>
          </c:tx>
          <c:spPr>
            <a:solidFill>
              <a:srgbClr val="FF8080"/>
            </a:solidFill>
            <a:ln w="12708">
              <a:solidFill>
                <a:srgbClr val="000000"/>
              </a:solidFill>
              <a:prstDash val="solid"/>
            </a:ln>
          </c:spPr>
          <c:invertIfNegative val="0"/>
          <c:dLbls>
            <c:dLbl>
              <c:idx val="0"/>
              <c:layout>
                <c:manualLayout>
                  <c:x val="1.3801015968544501E-3"/>
                  <c:y val="-7.423403173623370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97E-3"/>
                  <c:y val="-4.1150623180721399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3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802"/>
                  <c:y val="0.7517401392111390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31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Sheet1!$B$2:$B$3</c:f>
              <c:numCache>
                <c:formatCode>General</c:formatCode>
                <c:ptCount val="2"/>
                <c:pt idx="0">
                  <c:v>73</c:v>
                </c:pt>
                <c:pt idx="1">
                  <c:v>60</c:v>
                </c:pt>
              </c:numCache>
            </c:numRef>
          </c:val>
        </c:ser>
        <c:ser>
          <c:idx val="1"/>
          <c:order val="1"/>
          <c:tx>
            <c:strRef>
              <c:f>Sheet1!$C$1</c:f>
              <c:strCache>
                <c:ptCount val="1"/>
                <c:pt idx="0">
                  <c:v>Určitě+spíše ne</c:v>
                </c:pt>
              </c:strCache>
            </c:strRef>
          </c:tx>
          <c:spPr>
            <a:solidFill>
              <a:srgbClr val="0066FF"/>
            </a:solidFill>
            <a:ln w="12708">
              <a:solidFill>
                <a:srgbClr val="000000"/>
              </a:solidFill>
              <a:prstDash val="solid"/>
            </a:ln>
          </c:spPr>
          <c:invertIfNegative val="0"/>
          <c:dLbls>
            <c:dLbl>
              <c:idx val="0"/>
              <c:layout>
                <c:manualLayout>
                  <c:x val="3.0607738657620499E-3"/>
                  <c:y val="-3.6263924542493399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2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294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30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8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Sheet1!$C$2:$C$3</c:f>
              <c:numCache>
                <c:formatCode>General</c:formatCode>
                <c:ptCount val="2"/>
                <c:pt idx="0">
                  <c:v>27</c:v>
                </c:pt>
                <c:pt idx="1">
                  <c:v>40</c:v>
                </c:pt>
              </c:numCache>
            </c:numRef>
          </c:val>
        </c:ser>
        <c:dLbls>
          <c:showLegendKey val="0"/>
          <c:showVal val="1"/>
          <c:showCatName val="0"/>
          <c:showSerName val="0"/>
          <c:showPercent val="0"/>
          <c:showBubbleSize val="0"/>
        </c:dLbls>
        <c:gapWidth val="150"/>
        <c:shape val="box"/>
        <c:axId val="127079552"/>
        <c:axId val="127081088"/>
        <c:axId val="0"/>
      </c:bar3DChart>
      <c:catAx>
        <c:axId val="127079552"/>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7081088"/>
        <c:crosses val="autoZero"/>
        <c:auto val="1"/>
        <c:lblAlgn val="ctr"/>
        <c:lblOffset val="100"/>
        <c:tickLblSkip val="1"/>
        <c:tickMarkSkip val="1"/>
        <c:noMultiLvlLbl val="0"/>
      </c:catAx>
      <c:valAx>
        <c:axId val="127081088"/>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9"/>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7079552"/>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9461279461279499"/>
          <c:y val="3.5314891112419103E-2"/>
          <c:w val="0.693602693602694"/>
          <c:h val="0.85215039660256697"/>
        </c:manualLayout>
      </c:layout>
      <c:barChart>
        <c:barDir val="bar"/>
        <c:grouping val="clustered"/>
        <c:varyColors val="0"/>
        <c:ser>
          <c:idx val="0"/>
          <c:order val="0"/>
          <c:tx>
            <c:strRef>
              <c:f>Sheet1!$A$2</c:f>
              <c:strCache>
                <c:ptCount val="1"/>
                <c:pt idx="0">
                  <c:v>2015/6</c:v>
                </c:pt>
              </c:strCache>
            </c:strRef>
          </c:tx>
          <c:spPr>
            <a:solidFill>
              <a:srgbClr val="66FFFF"/>
            </a:solidFill>
            <a:ln w="12705">
              <a:solidFill>
                <a:srgbClr val="000000"/>
              </a:solidFill>
              <a:prstDash val="solid"/>
            </a:ln>
          </c:spPr>
          <c:invertIfNegative val="0"/>
          <c:dLbls>
            <c:spPr>
              <a:noFill/>
              <a:ln w="25411">
                <a:noFill/>
              </a:ln>
            </c:spPr>
            <c:txPr>
              <a:bodyPr/>
              <a:lstStyle/>
              <a:p>
                <a:pPr>
                  <a:defRPr sz="1000" b="0" i="0" u="none" strike="noStrike" baseline="0">
                    <a:solidFill>
                      <a:srgbClr val="000000"/>
                    </a:solidFill>
                    <a:latin typeface="Times New Roman CE"/>
                    <a:ea typeface="Times New Roman CE"/>
                    <a:cs typeface="Times New Roman CE"/>
                  </a:defRPr>
                </a:pPr>
                <a:endParaRPr lang="cs-CZ"/>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Sheet1!$B$1:$P$1</c:f>
              <c:strCache>
                <c:ptCount val="15"/>
                <c:pt idx="0">
                  <c:v>Vše se dá obejít</c:v>
                </c:pt>
                <c:pt idx="1">
                  <c:v>Likvidace živnostníků</c:v>
                </c:pt>
                <c:pt idx="2">
                  <c:v>Pirátství, hackeři, zneužití informací </c:v>
                </c:pt>
                <c:pt idx="3">
                  <c:v>Finanční náklady na zavedení</c:v>
                </c:pt>
                <c:pt idx="4">
                  <c:v>Přístup k internetu, poruchy pokladen</c:v>
                </c:pt>
                <c:pt idx="5">
                  <c:v>Chyby v programu, zabezpečení</c:v>
                </c:pt>
                <c:pt idx="6">
                  <c:v>Zdražení služeb</c:v>
                </c:pt>
                <c:pt idx="7">
                  <c:v>Doba vyřízení, zpomalení služeb</c:v>
                </c:pt>
                <c:pt idx="8">
                  <c:v>Administrativní náklady státní správy</c:v>
                </c:pt>
                <c:pt idx="9">
                  <c:v>Manipulace v databázi s údaji, nebude funkční</c:v>
                </c:pt>
                <c:pt idx="10">
                  <c:v>Nic se nezlepší, nebude se dodržovat</c:v>
                </c:pt>
                <c:pt idx="11">
                  <c:v>Donášení, šikana živnostníka</c:v>
                </c:pt>
                <c:pt idx="12">
                  <c:v>Vše má svá rizika</c:v>
                </c:pt>
                <c:pt idx="13">
                  <c:v>Jiná odpověď</c:v>
                </c:pt>
                <c:pt idx="14">
                  <c:v>Neví</c:v>
                </c:pt>
              </c:strCache>
            </c:strRef>
          </c:cat>
          <c:val>
            <c:numRef>
              <c:f>Sheet1!$B$2:$P$2</c:f>
              <c:numCache>
                <c:formatCode>General</c:formatCode>
                <c:ptCount val="15"/>
                <c:pt idx="0">
                  <c:v>22</c:v>
                </c:pt>
                <c:pt idx="1">
                  <c:v>15</c:v>
                </c:pt>
                <c:pt idx="2">
                  <c:v>10</c:v>
                </c:pt>
                <c:pt idx="3">
                  <c:v>9</c:v>
                </c:pt>
                <c:pt idx="4">
                  <c:v>6</c:v>
                </c:pt>
                <c:pt idx="5">
                  <c:v>6</c:v>
                </c:pt>
                <c:pt idx="6">
                  <c:v>3</c:v>
                </c:pt>
                <c:pt idx="7">
                  <c:v>3</c:v>
                </c:pt>
                <c:pt idx="8">
                  <c:v>2</c:v>
                </c:pt>
                <c:pt idx="9">
                  <c:v>2</c:v>
                </c:pt>
                <c:pt idx="10">
                  <c:v>1</c:v>
                </c:pt>
                <c:pt idx="11">
                  <c:v>1</c:v>
                </c:pt>
                <c:pt idx="12">
                  <c:v>4</c:v>
                </c:pt>
                <c:pt idx="13">
                  <c:v>7</c:v>
                </c:pt>
                <c:pt idx="14">
                  <c:v>10</c:v>
                </c:pt>
              </c:numCache>
            </c:numRef>
          </c:val>
        </c:ser>
        <c:ser>
          <c:idx val="1"/>
          <c:order val="1"/>
          <c:tx>
            <c:strRef>
              <c:f>Sheet1!$A$3</c:f>
              <c:strCache>
                <c:ptCount val="1"/>
                <c:pt idx="0">
                  <c:v>2016/5</c:v>
                </c:pt>
              </c:strCache>
            </c:strRef>
          </c:tx>
          <c:spPr>
            <a:solidFill>
              <a:srgbClr val="6600FF"/>
            </a:solidFill>
            <a:ln>
              <a:solidFill>
                <a:schemeClr val="tx1"/>
              </a:solidFill>
            </a:ln>
          </c:spPr>
          <c:invertIfNegative val="0"/>
          <c:dLbls>
            <c:spPr>
              <a:noFill/>
              <a:ln>
                <a:noFill/>
              </a:ln>
              <a:effectLst/>
            </c:spPr>
            <c:txPr>
              <a:bodyPr/>
              <a:lstStyle/>
              <a:p>
                <a:pPr>
                  <a:defRPr sz="1000"/>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Sheet1!$B$1:$P$1</c:f>
              <c:strCache>
                <c:ptCount val="15"/>
                <c:pt idx="0">
                  <c:v>Vše se dá obejít</c:v>
                </c:pt>
                <c:pt idx="1">
                  <c:v>Likvidace živnostníků</c:v>
                </c:pt>
                <c:pt idx="2">
                  <c:v>Pirátství, hackeři, zneužití informací </c:v>
                </c:pt>
                <c:pt idx="3">
                  <c:v>Finanční náklady na zavedení</c:v>
                </c:pt>
                <c:pt idx="4">
                  <c:v>Přístup k internetu, poruchy pokladen</c:v>
                </c:pt>
                <c:pt idx="5">
                  <c:v>Chyby v programu, zabezpečení</c:v>
                </c:pt>
                <c:pt idx="6">
                  <c:v>Zdražení služeb</c:v>
                </c:pt>
                <c:pt idx="7">
                  <c:v>Doba vyřízení, zpomalení služeb</c:v>
                </c:pt>
                <c:pt idx="8">
                  <c:v>Administrativní náklady státní správy</c:v>
                </c:pt>
                <c:pt idx="9">
                  <c:v>Manipulace v databázi s údaji, nebude funkční</c:v>
                </c:pt>
                <c:pt idx="10">
                  <c:v>Nic se nezlepší, nebude se dodržovat</c:v>
                </c:pt>
                <c:pt idx="11">
                  <c:v>Donášení, šikana živnostníka</c:v>
                </c:pt>
                <c:pt idx="12">
                  <c:v>Vše má svá rizika</c:v>
                </c:pt>
                <c:pt idx="13">
                  <c:v>Jiná odpověď</c:v>
                </c:pt>
                <c:pt idx="14">
                  <c:v>Neví</c:v>
                </c:pt>
              </c:strCache>
            </c:strRef>
          </c:cat>
          <c:val>
            <c:numRef>
              <c:f>Sheet1!$B$3:$P$3</c:f>
              <c:numCache>
                <c:formatCode>General</c:formatCode>
                <c:ptCount val="15"/>
                <c:pt idx="0">
                  <c:v>18</c:v>
                </c:pt>
                <c:pt idx="1">
                  <c:v>20</c:v>
                </c:pt>
                <c:pt idx="2">
                  <c:v>9</c:v>
                </c:pt>
                <c:pt idx="3">
                  <c:v>6</c:v>
                </c:pt>
                <c:pt idx="4">
                  <c:v>4</c:v>
                </c:pt>
                <c:pt idx="5">
                  <c:v>3</c:v>
                </c:pt>
                <c:pt idx="6">
                  <c:v>1</c:v>
                </c:pt>
                <c:pt idx="7">
                  <c:v>2</c:v>
                </c:pt>
                <c:pt idx="8">
                  <c:v>1</c:v>
                </c:pt>
                <c:pt idx="9">
                  <c:v>4</c:v>
                </c:pt>
                <c:pt idx="10">
                  <c:v>4</c:v>
                </c:pt>
                <c:pt idx="11">
                  <c:v>2</c:v>
                </c:pt>
                <c:pt idx="12">
                  <c:v>2</c:v>
                </c:pt>
                <c:pt idx="13">
                  <c:v>4</c:v>
                </c:pt>
                <c:pt idx="14">
                  <c:v>20</c:v>
                </c:pt>
              </c:numCache>
            </c:numRef>
          </c:val>
        </c:ser>
        <c:dLbls>
          <c:showLegendKey val="0"/>
          <c:showVal val="1"/>
          <c:showCatName val="0"/>
          <c:showSerName val="0"/>
          <c:showPercent val="0"/>
          <c:showBubbleSize val="0"/>
        </c:dLbls>
        <c:gapWidth val="100"/>
        <c:axId val="127133184"/>
        <c:axId val="127134720"/>
      </c:barChart>
      <c:catAx>
        <c:axId val="127133184"/>
        <c:scaling>
          <c:orientation val="maxMin"/>
        </c:scaling>
        <c:delete val="0"/>
        <c:axPos val="l"/>
        <c:numFmt formatCode="General" sourceLinked="1"/>
        <c:majorTickMark val="out"/>
        <c:minorTickMark val="none"/>
        <c:tickLblPos val="nextTo"/>
        <c:spPr>
          <a:ln w="3176">
            <a:solidFill>
              <a:srgbClr val="000000"/>
            </a:solidFill>
            <a:prstDash val="solid"/>
          </a:ln>
        </c:spPr>
        <c:txPr>
          <a:bodyPr rot="0" vert="horz"/>
          <a:lstStyle/>
          <a:p>
            <a:pPr>
              <a:defRPr sz="1000" b="0" i="0" u="none" strike="noStrike" baseline="0">
                <a:solidFill>
                  <a:srgbClr val="000000"/>
                </a:solidFill>
                <a:latin typeface="Times New Roman CE"/>
                <a:ea typeface="Times New Roman CE"/>
                <a:cs typeface="Times New Roman CE"/>
              </a:defRPr>
            </a:pPr>
            <a:endParaRPr lang="cs-CZ"/>
          </a:p>
        </c:txPr>
        <c:crossAx val="127134720"/>
        <c:crossesAt val="0"/>
        <c:auto val="1"/>
        <c:lblAlgn val="ctr"/>
        <c:lblOffset val="100"/>
        <c:tickLblSkip val="1"/>
        <c:tickMarkSkip val="1"/>
        <c:noMultiLvlLbl val="0"/>
      </c:catAx>
      <c:valAx>
        <c:axId val="127134720"/>
        <c:scaling>
          <c:orientation val="minMax"/>
          <c:max val="50"/>
          <c:min val="0"/>
        </c:scaling>
        <c:delete val="0"/>
        <c:axPos val="b"/>
        <c:title>
          <c:tx>
            <c:rich>
              <a:bodyPr/>
              <a:lstStyle/>
              <a:p>
                <a:pPr>
                  <a:defRPr sz="925"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0.89898989898989901"/>
              <c:y val="0.94964028776978504"/>
            </c:manualLayout>
          </c:layout>
          <c:overlay val="0"/>
          <c:spPr>
            <a:noFill/>
            <a:ln w="25411">
              <a:noFill/>
            </a:ln>
          </c:spPr>
        </c:title>
        <c:numFmt formatCode="0" sourceLinked="0"/>
        <c:majorTickMark val="out"/>
        <c:minorTickMark val="none"/>
        <c:tickLblPos val="nextTo"/>
        <c:spPr>
          <a:ln w="3176">
            <a:solidFill>
              <a:srgbClr val="000000"/>
            </a:solidFill>
            <a:prstDash val="solid"/>
          </a:ln>
        </c:spPr>
        <c:txPr>
          <a:bodyPr rot="0" vert="horz"/>
          <a:lstStyle/>
          <a:p>
            <a:pPr>
              <a:defRPr sz="925" b="0" i="0" u="none" strike="noStrike" baseline="0">
                <a:solidFill>
                  <a:srgbClr val="000000"/>
                </a:solidFill>
                <a:latin typeface="Times New Roman CE"/>
                <a:ea typeface="Times New Roman CE"/>
                <a:cs typeface="Times New Roman CE"/>
              </a:defRPr>
            </a:pPr>
            <a:endParaRPr lang="cs-CZ"/>
          </a:p>
        </c:txPr>
        <c:crossAx val="127133184"/>
        <c:crosses val="max"/>
        <c:crossBetween val="between"/>
        <c:majorUnit val="10"/>
        <c:minorUnit val="1"/>
      </c:valAx>
      <c:spPr>
        <a:solidFill>
          <a:srgbClr val="FFFFFF"/>
        </a:solidFill>
        <a:ln w="12705">
          <a:solidFill>
            <a:srgbClr val="808080"/>
          </a:solidFill>
          <a:prstDash val="solid"/>
        </a:ln>
      </c:spPr>
    </c:plotArea>
    <c:legend>
      <c:legendPos val="b"/>
      <c:layout>
        <c:manualLayout>
          <c:xMode val="edge"/>
          <c:yMode val="edge"/>
          <c:x val="0.29425502329053999"/>
          <c:y val="0.944009862216311"/>
          <c:w val="0.35851165118040701"/>
          <c:h val="4.1840379771498598E-2"/>
        </c:manualLayout>
      </c:layout>
      <c:overlay val="0"/>
      <c:txPr>
        <a:bodyPr/>
        <a:lstStyle/>
        <a:p>
          <a:pPr>
            <a:defRPr sz="1200"/>
          </a:pPr>
          <a:endParaRPr lang="cs-CZ"/>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7171717171717199"/>
          <c:y val="0.21753246753246799"/>
          <c:w val="0.67845117845117897"/>
          <c:h val="0.587662337662337"/>
        </c:manualLayout>
      </c:layout>
      <c:pie3DChart>
        <c:varyColors val="1"/>
        <c:ser>
          <c:idx val="0"/>
          <c:order val="0"/>
          <c:tx>
            <c:strRef>
              <c:f>Sheet1!$B$1</c:f>
              <c:strCache>
                <c:ptCount val="1"/>
              </c:strCache>
            </c:strRef>
          </c:tx>
          <c:spPr>
            <a:ln w="12694">
              <a:solidFill>
                <a:srgbClr val="000000"/>
              </a:solidFill>
              <a:prstDash val="solid"/>
            </a:ln>
          </c:spPr>
          <c:dPt>
            <c:idx val="0"/>
            <c:bubble3D val="0"/>
            <c:spPr>
              <a:solidFill>
                <a:srgbClr val="FF0000"/>
              </a:solidFill>
              <a:ln w="12694">
                <a:solidFill>
                  <a:srgbClr val="000000"/>
                </a:solidFill>
                <a:prstDash val="solid"/>
              </a:ln>
            </c:spPr>
          </c:dPt>
          <c:dPt>
            <c:idx val="1"/>
            <c:bubble3D val="0"/>
            <c:spPr>
              <a:solidFill>
                <a:srgbClr val="CCFFFF"/>
              </a:solidFill>
              <a:ln w="12694">
                <a:solidFill>
                  <a:srgbClr val="000000"/>
                </a:solidFill>
                <a:prstDash val="solid"/>
              </a:ln>
            </c:spPr>
          </c:dPt>
          <c:dPt>
            <c:idx val="2"/>
            <c:bubble3D val="0"/>
            <c:spPr>
              <a:solidFill>
                <a:srgbClr val="CCFFFF"/>
              </a:solidFill>
              <a:ln w="12694">
                <a:solidFill>
                  <a:srgbClr val="000000"/>
                </a:solidFill>
                <a:prstDash val="solid"/>
              </a:ln>
            </c:spPr>
          </c:dPt>
          <c:dPt>
            <c:idx val="3"/>
            <c:bubble3D val="0"/>
            <c:spPr>
              <a:solidFill>
                <a:srgbClr val="000080"/>
              </a:solidFill>
              <a:ln w="12694">
                <a:solidFill>
                  <a:srgbClr val="000000"/>
                </a:solidFill>
                <a:prstDash val="solid"/>
              </a:ln>
            </c:spPr>
          </c:dPt>
          <c:dPt>
            <c:idx val="4"/>
            <c:bubble3D val="0"/>
            <c:spPr>
              <a:solidFill>
                <a:srgbClr val="FFFFFF"/>
              </a:solidFill>
              <a:ln w="12694">
                <a:solidFill>
                  <a:srgbClr val="000000"/>
                </a:solidFill>
                <a:prstDash val="solid"/>
              </a:ln>
            </c:spPr>
          </c:dPt>
          <c:dLbls>
            <c:dLbl>
              <c:idx val="0"/>
              <c:layout>
                <c:manualLayout>
                  <c:x val="-6.7844807110473597E-3"/>
                  <c:y val="0.128686940753292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1.27172308295894E-2"/>
                  <c:y val="-0.142307705011709"/>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Mode val="edge"/>
                  <c:yMode val="edge"/>
                  <c:x val="5.3872053872053897E-2"/>
                  <c:y val="0.2012987012987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Mode val="edge"/>
                  <c:yMode val="edge"/>
                  <c:x val="0.419191919191919"/>
                  <c:y val="9.74025974025974E-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10101010101010099"/>
                  <c:y val="0.240259740259740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Mode val="edge"/>
                  <c:yMode val="edge"/>
                  <c:x val="0.34848484848484901"/>
                  <c:y val="7.46753246753247E-2"/>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89">
                <a:noFill/>
              </a:ln>
            </c:spPr>
            <c:txPr>
              <a:bodyPr/>
              <a:lstStyle/>
              <a:p>
                <a:pPr>
                  <a:defRPr sz="1199"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Sheet1!$A$2:$A$3</c:f>
              <c:strCache>
                <c:ptCount val="2"/>
                <c:pt idx="0">
                  <c:v>Pozitivní opatření</c:v>
                </c:pt>
                <c:pt idx="1">
                  <c:v>Negativní opatření</c:v>
                </c:pt>
              </c:strCache>
            </c:strRef>
          </c:cat>
          <c:val>
            <c:numRef>
              <c:f>Sheet1!$B$2:$B$3</c:f>
              <c:numCache>
                <c:formatCode>General</c:formatCode>
                <c:ptCount val="2"/>
                <c:pt idx="0">
                  <c:v>63</c:v>
                </c:pt>
                <c:pt idx="1">
                  <c:v>37</c:v>
                </c:pt>
              </c:numCache>
            </c:numRef>
          </c:val>
        </c:ser>
        <c:dLbls>
          <c:showLegendKey val="0"/>
          <c:showVal val="0"/>
          <c:showCatName val="1"/>
          <c:showSerName val="0"/>
          <c:showPercent val="1"/>
          <c:showBubbleSize val="0"/>
          <c:showLeaderLines val="0"/>
        </c:dLbls>
      </c:pie3DChart>
      <c:spPr>
        <a:noFill/>
        <a:ln w="25389">
          <a:noFill/>
        </a:ln>
      </c:spPr>
    </c:plotArea>
    <c:plotVisOnly val="1"/>
    <c:dispBlanksAs val="zero"/>
    <c:showDLblsOverMax val="0"/>
  </c:chart>
  <c:spPr>
    <a:noFill/>
    <a:ln>
      <a:noFill/>
    </a:ln>
  </c:spPr>
  <c:txPr>
    <a:bodyPr/>
    <a:lstStyle/>
    <a:p>
      <a:pPr>
        <a:defRPr sz="1124"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„Když zvážíte všechny okolnosti pro a proti elektronické evidence tržeb, </a:t>
            </a:r>
            <a:br>
              <a:rPr lang="cs-CZ" sz="1202" b="0" i="1" u="none" strike="noStrike" baseline="0">
                <a:effectLst/>
              </a:rPr>
            </a:br>
            <a:r>
              <a:rPr lang="cs-CZ" sz="1202" b="0" i="1" u="none" strike="noStrike" baseline="0">
                <a:effectLst/>
              </a:rPr>
              <a:t>je její zavedení podle Vás:“</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133374945782225"/>
          <c:y val="1.71008304508661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Pozitivní opatření</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c:v>54</c:v>
                </c:pt>
                <c:pt idx="1">
                  <c:v>57</c:v>
                </c:pt>
                <c:pt idx="2">
                  <c:v>61</c:v>
                </c:pt>
                <c:pt idx="3">
                  <c:v>75</c:v>
                </c:pt>
              </c:numCache>
            </c:numRef>
          </c:val>
        </c:ser>
        <c:ser>
          <c:idx val="1"/>
          <c:order val="1"/>
          <c:tx>
            <c:strRef>
              <c:f>Sheet1!$C$1</c:f>
              <c:strCache>
                <c:ptCount val="1"/>
                <c:pt idx="0">
                  <c:v>Negativní opatření</c:v>
                </c:pt>
              </c:strCache>
            </c:strRef>
          </c:tx>
          <c:spPr>
            <a:solidFill>
              <a:srgbClr val="66FF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46</c:v>
                </c:pt>
                <c:pt idx="1">
                  <c:v>43</c:v>
                </c:pt>
                <c:pt idx="2">
                  <c:v>39</c:v>
                </c:pt>
                <c:pt idx="3">
                  <c:v>25</c:v>
                </c:pt>
              </c:numCache>
            </c:numRef>
          </c:val>
        </c:ser>
        <c:dLbls>
          <c:showLegendKey val="0"/>
          <c:showVal val="1"/>
          <c:showCatName val="0"/>
          <c:showSerName val="0"/>
          <c:showPercent val="0"/>
          <c:showBubbleSize val="0"/>
        </c:dLbls>
        <c:gapWidth val="150"/>
        <c:shape val="box"/>
        <c:axId val="126932096"/>
        <c:axId val="126933632"/>
        <c:axId val="0"/>
      </c:bar3DChart>
      <c:catAx>
        <c:axId val="12693209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933632"/>
        <c:crosses val="autoZero"/>
        <c:auto val="1"/>
        <c:lblAlgn val="ctr"/>
        <c:lblOffset val="100"/>
        <c:tickLblSkip val="1"/>
        <c:tickMarkSkip val="1"/>
        <c:noMultiLvlLbl val="0"/>
      </c:catAx>
      <c:valAx>
        <c:axId val="12693363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932096"/>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„Když zvážíte všechny okolnosti pro a proti elektronické evidence tržeb, </a:t>
            </a:r>
            <a:br>
              <a:rPr lang="cs-CZ" sz="1202" b="0" i="1" u="none" strike="noStrike" baseline="0">
                <a:effectLst/>
              </a:rPr>
            </a:br>
            <a:r>
              <a:rPr lang="cs-CZ" sz="1202" b="0" i="1" u="none" strike="noStrike" baseline="0">
                <a:effectLst/>
              </a:rPr>
              <a:t>je její zavedení podle Vás:“</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pohlaví</a:t>
            </a:r>
          </a:p>
        </c:rich>
      </c:tx>
      <c:layout>
        <c:manualLayout>
          <c:xMode val="edge"/>
          <c:yMode val="edge"/>
          <c:x val="0.135575888508674"/>
          <c:y val="1.2918374280222101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Pozitivní opatření</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Sheet1!$B$2:$B$3</c:f>
              <c:numCache>
                <c:formatCode>General</c:formatCode>
                <c:ptCount val="2"/>
                <c:pt idx="0">
                  <c:v>65</c:v>
                </c:pt>
                <c:pt idx="1">
                  <c:v>61</c:v>
                </c:pt>
              </c:numCache>
            </c:numRef>
          </c:val>
        </c:ser>
        <c:ser>
          <c:idx val="1"/>
          <c:order val="1"/>
          <c:tx>
            <c:strRef>
              <c:f>Sheet1!$C$1</c:f>
              <c:strCache>
                <c:ptCount val="1"/>
                <c:pt idx="0">
                  <c:v>Negativní opatření</c:v>
                </c:pt>
              </c:strCache>
            </c:strRef>
          </c:tx>
          <c:spPr>
            <a:solidFill>
              <a:srgbClr val="66FF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Sheet1!$C$2:$C$3</c:f>
              <c:numCache>
                <c:formatCode>General</c:formatCode>
                <c:ptCount val="2"/>
                <c:pt idx="0">
                  <c:v>35</c:v>
                </c:pt>
                <c:pt idx="1">
                  <c:v>39</c:v>
                </c:pt>
              </c:numCache>
            </c:numRef>
          </c:val>
        </c:ser>
        <c:dLbls>
          <c:showLegendKey val="0"/>
          <c:showVal val="1"/>
          <c:showCatName val="0"/>
          <c:showSerName val="0"/>
          <c:showPercent val="0"/>
          <c:showBubbleSize val="0"/>
        </c:dLbls>
        <c:gapWidth val="150"/>
        <c:shape val="box"/>
        <c:axId val="126870656"/>
        <c:axId val="126872192"/>
        <c:axId val="0"/>
      </c:bar3DChart>
      <c:catAx>
        <c:axId val="12687065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872192"/>
        <c:crosses val="autoZero"/>
        <c:auto val="1"/>
        <c:lblAlgn val="ctr"/>
        <c:lblOffset val="100"/>
        <c:tickLblSkip val="1"/>
        <c:tickMarkSkip val="1"/>
        <c:noMultiLvlLbl val="0"/>
      </c:catAx>
      <c:valAx>
        <c:axId val="12687219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870656"/>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„Když zvážíte všechny okolnosti pro a proti elektronické evidence tržeb, </a:t>
            </a:r>
            <a:br>
              <a:rPr lang="cs-CZ" sz="1202" b="0" i="1" u="none" strike="noStrike" baseline="0">
                <a:effectLst/>
              </a:rPr>
            </a:br>
            <a:r>
              <a:rPr lang="cs-CZ" sz="1202" b="0" i="1" u="none" strike="noStrike" baseline="0">
                <a:effectLst/>
              </a:rPr>
              <a:t>je její zavedení podle Vás: “</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sympatizantů politických stran</a:t>
            </a:r>
          </a:p>
        </c:rich>
      </c:tx>
      <c:layout>
        <c:manualLayout>
          <c:xMode val="edge"/>
          <c:yMode val="edge"/>
          <c:x val="0.13777648465725789"/>
          <c:y val="2.5744529423061713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6.5432687733864306E-2"/>
          <c:y val="0.185614849187935"/>
          <c:w val="0.92620074933600005"/>
          <c:h val="0.64269141531322604"/>
        </c:manualLayout>
      </c:layout>
      <c:bar3DChart>
        <c:barDir val="col"/>
        <c:grouping val="stacked"/>
        <c:varyColors val="0"/>
        <c:ser>
          <c:idx val="0"/>
          <c:order val="0"/>
          <c:tx>
            <c:strRef>
              <c:f>Sheet1!$B$1</c:f>
              <c:strCache>
                <c:ptCount val="1"/>
                <c:pt idx="0">
                  <c:v>Pozitivní opatření</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34690243434559E-3"/>
                  <c:y val="-1.047201527042719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1640101762192497E-5"/>
                  <c:y val="1.27462117372764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5524231078018303E-4"/>
                  <c:y val="-1.7587669935933602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1.92004136753387E-4"/>
                  <c:y val="-9.6453760132462502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ANO</c:v>
                </c:pt>
                <c:pt idx="1">
                  <c:v>ČSSD</c:v>
                </c:pt>
                <c:pt idx="2">
                  <c:v>KSČM</c:v>
                </c:pt>
                <c:pt idx="3">
                  <c:v>KDU-ČSL</c:v>
                </c:pt>
                <c:pt idx="4">
                  <c:v>TOP 09</c:v>
                </c:pt>
                <c:pt idx="5">
                  <c:v>SPD (Okamura)</c:v>
                </c:pt>
                <c:pt idx="6">
                  <c:v>ODS</c:v>
                </c:pt>
              </c:strCache>
            </c:strRef>
          </c:cat>
          <c:val>
            <c:numRef>
              <c:f>Sheet1!$B$2:$B$8</c:f>
              <c:numCache>
                <c:formatCode>General</c:formatCode>
                <c:ptCount val="7"/>
                <c:pt idx="0">
                  <c:v>87</c:v>
                </c:pt>
                <c:pt idx="1">
                  <c:v>77</c:v>
                </c:pt>
                <c:pt idx="2">
                  <c:v>66</c:v>
                </c:pt>
                <c:pt idx="3">
                  <c:v>66</c:v>
                </c:pt>
                <c:pt idx="4">
                  <c:v>30</c:v>
                </c:pt>
                <c:pt idx="5">
                  <c:v>44</c:v>
                </c:pt>
                <c:pt idx="6">
                  <c:v>33</c:v>
                </c:pt>
              </c:numCache>
            </c:numRef>
          </c:val>
        </c:ser>
        <c:ser>
          <c:idx val="1"/>
          <c:order val="1"/>
          <c:tx>
            <c:strRef>
              <c:f>Sheet1!$C$1</c:f>
              <c:strCache>
                <c:ptCount val="1"/>
                <c:pt idx="0">
                  <c:v>Negativní opatření</c:v>
                </c:pt>
              </c:strCache>
            </c:strRef>
          </c:tx>
          <c:spPr>
            <a:solidFill>
              <a:srgbClr val="66FF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2153257078116398E-3"/>
                  <c:y val="1.4957247459226699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5524231078018303E-4"/>
                  <c:y val="9.68524931659899E-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2.0087653007628699E-3"/>
                  <c:y val="1.48482229758663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4.40153887503251E-3"/>
                  <c:y val="6.3568383688753201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ANO</c:v>
                </c:pt>
                <c:pt idx="1">
                  <c:v>ČSSD</c:v>
                </c:pt>
                <c:pt idx="2">
                  <c:v>KSČM</c:v>
                </c:pt>
                <c:pt idx="3">
                  <c:v>KDU-ČSL</c:v>
                </c:pt>
                <c:pt idx="4">
                  <c:v>TOP 09</c:v>
                </c:pt>
                <c:pt idx="5">
                  <c:v>SPD (Okamura)</c:v>
                </c:pt>
                <c:pt idx="6">
                  <c:v>ODS</c:v>
                </c:pt>
              </c:strCache>
            </c:strRef>
          </c:cat>
          <c:val>
            <c:numRef>
              <c:f>Sheet1!$C$2:$C$8</c:f>
              <c:numCache>
                <c:formatCode>General</c:formatCode>
                <c:ptCount val="7"/>
                <c:pt idx="0">
                  <c:v>13</c:v>
                </c:pt>
                <c:pt idx="1">
                  <c:v>23</c:v>
                </c:pt>
                <c:pt idx="2">
                  <c:v>34</c:v>
                </c:pt>
                <c:pt idx="3">
                  <c:v>34</c:v>
                </c:pt>
                <c:pt idx="4">
                  <c:v>70</c:v>
                </c:pt>
                <c:pt idx="5">
                  <c:v>56</c:v>
                </c:pt>
                <c:pt idx="6">
                  <c:v>67</c:v>
                </c:pt>
              </c:numCache>
            </c:numRef>
          </c:val>
        </c:ser>
        <c:dLbls>
          <c:showLegendKey val="0"/>
          <c:showVal val="1"/>
          <c:showCatName val="0"/>
          <c:showSerName val="0"/>
          <c:showPercent val="0"/>
          <c:showBubbleSize val="0"/>
        </c:dLbls>
        <c:gapWidth val="150"/>
        <c:shape val="box"/>
        <c:axId val="126989440"/>
        <c:axId val="126990976"/>
        <c:axId val="0"/>
      </c:bar3DChart>
      <c:catAx>
        <c:axId val="12698944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000" b="0" i="0" u="none" strike="noStrike" baseline="0">
                <a:solidFill>
                  <a:srgbClr val="000000"/>
                </a:solidFill>
                <a:latin typeface="Times New Roman CE"/>
                <a:ea typeface="Times New Roman CE"/>
                <a:cs typeface="Times New Roman CE"/>
              </a:defRPr>
            </a:pPr>
            <a:endParaRPr lang="cs-CZ"/>
          </a:p>
        </c:txPr>
        <c:crossAx val="126990976"/>
        <c:crosses val="autoZero"/>
        <c:auto val="1"/>
        <c:lblAlgn val="ctr"/>
        <c:lblOffset val="100"/>
        <c:tickLblSkip val="1"/>
        <c:tickMarkSkip val="1"/>
        <c:noMultiLvlLbl val="0"/>
      </c:catAx>
      <c:valAx>
        <c:axId val="12699097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6989440"/>
        <c:crosses val="autoZero"/>
        <c:crossBetween val="between"/>
        <c:majorUnit val="20"/>
      </c:valAx>
      <c:spPr>
        <a:noFill/>
        <a:ln w="25415">
          <a:noFill/>
        </a:ln>
      </c:spPr>
    </c:plotArea>
    <c:legend>
      <c:legendPos val="b"/>
      <c:layout>
        <c:manualLayout>
          <c:xMode val="edge"/>
          <c:yMode val="edge"/>
          <c:x val="9.2436974789915902E-2"/>
          <c:y val="0.925754060324825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„Když zvážíte všechny okolnosti pro a proti elektronické evidence tržeb, </a:t>
            </a:r>
            <a:br>
              <a:rPr lang="cs-CZ" sz="1202" b="0" i="1" u="none" strike="noStrike" baseline="0">
                <a:effectLst/>
              </a:rPr>
            </a:br>
            <a:r>
              <a:rPr lang="cs-CZ" sz="1202" b="0" i="1" u="none" strike="noStrike" baseline="0">
                <a:effectLst/>
              </a:rPr>
              <a:t>je její zavedení podle Vás:“</a:t>
            </a:r>
          </a:p>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baseline="0"/>
              <a:t>- podle zkušeností s hotovostními tržbami z podnikání</a:t>
            </a:r>
            <a:endParaRPr lang="cs-CZ" sz="1200" b="0" i="0" u="none" strike="noStrike" baseline="0">
              <a:solidFill>
                <a:srgbClr val="000000"/>
              </a:solidFill>
              <a:latin typeface="Times New Roman" panose="02020603050405020304" pitchFamily="18" charset="0"/>
              <a:cs typeface="Times New Roman" panose="02020603050405020304" pitchFamily="18" charset="0"/>
            </a:endParaRPr>
          </a:p>
        </c:rich>
      </c:tx>
      <c:layout>
        <c:manualLayout>
          <c:xMode val="edge"/>
          <c:yMode val="edge"/>
          <c:x val="0.135575888508674"/>
          <c:y val="1.99681758988188E-3"/>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Pozitivní opatření</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Sheet1!$B$2:$B$3</c:f>
              <c:numCache>
                <c:formatCode>General</c:formatCode>
                <c:ptCount val="2"/>
                <c:pt idx="0">
                  <c:v>46</c:v>
                </c:pt>
                <c:pt idx="1">
                  <c:v>67</c:v>
                </c:pt>
              </c:numCache>
            </c:numRef>
          </c:val>
        </c:ser>
        <c:ser>
          <c:idx val="1"/>
          <c:order val="1"/>
          <c:tx>
            <c:strRef>
              <c:f>Sheet1!$C$1</c:f>
              <c:strCache>
                <c:ptCount val="1"/>
                <c:pt idx="0">
                  <c:v>Negativní opatření</c:v>
                </c:pt>
              </c:strCache>
            </c:strRef>
          </c:tx>
          <c:spPr>
            <a:solidFill>
              <a:srgbClr val="66FF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Sheet1!$C$2:$C$3</c:f>
              <c:numCache>
                <c:formatCode>General</c:formatCode>
                <c:ptCount val="2"/>
                <c:pt idx="0">
                  <c:v>54</c:v>
                </c:pt>
                <c:pt idx="1">
                  <c:v>33</c:v>
                </c:pt>
              </c:numCache>
            </c:numRef>
          </c:val>
        </c:ser>
        <c:dLbls>
          <c:showLegendKey val="0"/>
          <c:showVal val="1"/>
          <c:showCatName val="0"/>
          <c:showSerName val="0"/>
          <c:showPercent val="0"/>
          <c:showBubbleSize val="0"/>
        </c:dLbls>
        <c:gapWidth val="150"/>
        <c:shape val="box"/>
        <c:axId val="128664704"/>
        <c:axId val="128666240"/>
        <c:axId val="0"/>
      </c:bar3DChart>
      <c:catAx>
        <c:axId val="128664704"/>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8666240"/>
        <c:crosses val="autoZero"/>
        <c:auto val="1"/>
        <c:lblAlgn val="ctr"/>
        <c:lblOffset val="100"/>
        <c:tickLblSkip val="1"/>
        <c:tickMarkSkip val="1"/>
        <c:noMultiLvlLbl val="0"/>
      </c:catAx>
      <c:valAx>
        <c:axId val="128666240"/>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8664704"/>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206484641638225"/>
          <c:y val="0.27054794520547898"/>
          <c:w val="0.63481228668942002"/>
          <c:h val="0.57191780821917804"/>
        </c:manualLayout>
      </c:layout>
      <c:pie3DChart>
        <c:varyColors val="1"/>
        <c:ser>
          <c:idx val="0"/>
          <c:order val="0"/>
          <c:tx>
            <c:strRef>
              <c:f>Sheet1!$B$1</c:f>
              <c:strCache>
                <c:ptCount val="1"/>
              </c:strCache>
            </c:strRef>
          </c:tx>
          <c:spPr>
            <a:ln w="12689">
              <a:solidFill>
                <a:srgbClr val="000000"/>
              </a:solidFill>
              <a:prstDash val="solid"/>
            </a:ln>
          </c:spPr>
          <c:dPt>
            <c:idx val="0"/>
            <c:bubble3D val="0"/>
            <c:spPr>
              <a:solidFill>
                <a:srgbClr val="FF0000"/>
              </a:solidFill>
              <a:ln w="12689">
                <a:solidFill>
                  <a:srgbClr val="000000"/>
                </a:solidFill>
                <a:prstDash val="solid"/>
              </a:ln>
            </c:spPr>
          </c:dPt>
          <c:dPt>
            <c:idx val="1"/>
            <c:bubble3D val="0"/>
            <c:spPr>
              <a:solidFill>
                <a:srgbClr val="FF99CC"/>
              </a:solidFill>
              <a:ln w="12689">
                <a:solidFill>
                  <a:srgbClr val="000000"/>
                </a:solidFill>
                <a:prstDash val="solid"/>
              </a:ln>
            </c:spPr>
          </c:dPt>
          <c:dPt>
            <c:idx val="2"/>
            <c:bubble3D val="0"/>
            <c:spPr>
              <a:solidFill>
                <a:srgbClr val="FFCC99"/>
              </a:solidFill>
              <a:ln w="12689">
                <a:solidFill>
                  <a:srgbClr val="000000"/>
                </a:solidFill>
                <a:prstDash val="solid"/>
              </a:ln>
            </c:spPr>
          </c:dPt>
          <c:dPt>
            <c:idx val="3"/>
            <c:bubble3D val="0"/>
            <c:spPr>
              <a:solidFill>
                <a:srgbClr val="CCFFFF"/>
              </a:solidFill>
              <a:ln w="12689">
                <a:solidFill>
                  <a:srgbClr val="000000"/>
                </a:solidFill>
                <a:prstDash val="solid"/>
              </a:ln>
            </c:spPr>
          </c:dPt>
          <c:dPt>
            <c:idx val="4"/>
            <c:bubble3D val="0"/>
            <c:spPr>
              <a:solidFill>
                <a:srgbClr val="000080"/>
              </a:solidFill>
              <a:ln w="12689">
                <a:solidFill>
                  <a:srgbClr val="000000"/>
                </a:solidFill>
                <a:prstDash val="solid"/>
              </a:ln>
            </c:spPr>
          </c:dPt>
          <c:dPt>
            <c:idx val="5"/>
            <c:bubble3D val="0"/>
            <c:spPr>
              <a:solidFill>
                <a:srgbClr val="CCCCFF"/>
              </a:solidFill>
              <a:ln w="12689">
                <a:solidFill>
                  <a:srgbClr val="000000"/>
                </a:solidFill>
                <a:prstDash val="solid"/>
              </a:ln>
            </c:spPr>
          </c:dPt>
          <c:dPt>
            <c:idx val="6"/>
            <c:bubble3D val="0"/>
            <c:spPr>
              <a:solidFill>
                <a:srgbClr val="33CCCC"/>
              </a:solidFill>
              <a:ln w="12689">
                <a:solidFill>
                  <a:srgbClr val="000000"/>
                </a:solidFill>
                <a:prstDash val="solid"/>
              </a:ln>
            </c:spPr>
          </c:dPt>
          <c:dLbls>
            <c:dLbl>
              <c:idx val="0"/>
              <c:layout>
                <c:manualLayout>
                  <c:x val="-3.95937237661841E-2"/>
                  <c:y val="8.5378427178513405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1.0486922517051599E-3"/>
                  <c:y val="-6.5144794627655295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3.18270614022961E-3"/>
                  <c:y val="-7.1206741946023999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4.5279555291088298E-2"/>
                  <c:y val="-3.10039323842859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6.8539038735750804E-2"/>
                  <c:y val="-6.30180153377254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Mode val="edge"/>
                  <c:yMode val="edge"/>
                  <c:x val="9.8976109215017094E-2"/>
                  <c:y val="0.342465753424658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79">
                <a:noFill/>
              </a:ln>
            </c:spPr>
            <c:txPr>
              <a:bodyPr/>
              <a:lstStyle/>
              <a:p>
                <a:pPr>
                  <a:defRPr sz="1199"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Sheet1!$A$2:$A$6</c:f>
              <c:strCache>
                <c:ptCount val="5"/>
                <c:pt idx="0">
                  <c:v>Ve zpravodajství v tisku či televizi</c:v>
                </c:pt>
                <c:pt idx="1">
                  <c:v>Ve zpravodajství na internetu</c:v>
                </c:pt>
                <c:pt idx="2">
                  <c:v>Z politické diskuse v médiích</c:v>
                </c:pt>
                <c:pt idx="3">
                  <c:v>Od přátel, známých</c:v>
                </c:pt>
                <c:pt idx="4">
                  <c:v>Jinde</c:v>
                </c:pt>
              </c:strCache>
            </c:strRef>
          </c:cat>
          <c:val>
            <c:numRef>
              <c:f>Sheet1!$B$2:$B$6</c:f>
              <c:numCache>
                <c:formatCode>General</c:formatCode>
                <c:ptCount val="5"/>
                <c:pt idx="0">
                  <c:v>66</c:v>
                </c:pt>
                <c:pt idx="1">
                  <c:v>16</c:v>
                </c:pt>
                <c:pt idx="2">
                  <c:v>9</c:v>
                </c:pt>
                <c:pt idx="3">
                  <c:v>6</c:v>
                </c:pt>
                <c:pt idx="4">
                  <c:v>3</c:v>
                </c:pt>
              </c:numCache>
            </c:numRef>
          </c:val>
        </c:ser>
        <c:dLbls>
          <c:showLegendKey val="0"/>
          <c:showVal val="0"/>
          <c:showCatName val="1"/>
          <c:showSerName val="0"/>
          <c:showPercent val="1"/>
          <c:showBubbleSize val="0"/>
          <c:showLeaderLines val="0"/>
        </c:dLbls>
      </c:pie3DChart>
      <c:spPr>
        <a:noFill/>
        <a:ln w="25379">
          <a:noFill/>
        </a:ln>
      </c:spPr>
    </c:plotArea>
    <c:plotVisOnly val="1"/>
    <c:dispBlanksAs val="zero"/>
    <c:showDLblsOverMax val="0"/>
  </c:chart>
  <c:spPr>
    <a:noFill/>
    <a:ln>
      <a:noFill/>
    </a:ln>
  </c:spPr>
  <c:txPr>
    <a:bodyPr/>
    <a:lstStyle/>
    <a:p>
      <a:pPr>
        <a:defRPr sz="1099"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1" u="none" strike="noStrike" baseline="0">
                <a:solidFill>
                  <a:srgbClr val="000000"/>
                </a:solidFill>
                <a:latin typeface="Times New Roman" panose="02020603050405020304" pitchFamily="18" charset="0"/>
                <a:cs typeface="Times New Roman" panose="02020603050405020304" pitchFamily="18" charset="0"/>
              </a:rPr>
              <a:t>„Zvážíte-li všechna pro a proti, řekl(a) byste, že daňová morálka obchodníků, prodejců zboží a služeb je dnes v ČR:“</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zkušeností s hotovostními tržbami z podnikání</a:t>
            </a:r>
          </a:p>
        </c:rich>
      </c:tx>
      <c:layout>
        <c:manualLayout>
          <c:xMode val="edge"/>
          <c:yMode val="edge"/>
          <c:x val="0.16638655462184901"/>
          <c:y val="1.3921113689095099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Velmi+spíše dobrá</c:v>
                </c:pt>
              </c:strCache>
            </c:strRef>
          </c:tx>
          <c:spPr>
            <a:solidFill>
              <a:srgbClr val="FF808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Sheet1!$B$2:$B$3</c:f>
              <c:numCache>
                <c:formatCode>General</c:formatCode>
                <c:ptCount val="2"/>
                <c:pt idx="0">
                  <c:v>54</c:v>
                </c:pt>
                <c:pt idx="1">
                  <c:v>47</c:v>
                </c:pt>
              </c:numCache>
            </c:numRef>
          </c:val>
        </c:ser>
        <c:ser>
          <c:idx val="1"/>
          <c:order val="1"/>
          <c:tx>
            <c:strRef>
              <c:f>Sheet1!$C$1</c:f>
              <c:strCache>
                <c:ptCount val="1"/>
                <c:pt idx="0">
                  <c:v>Velmi+spíše špatná</c:v>
                </c:pt>
              </c:strCache>
            </c:strRef>
          </c:tx>
          <c:spPr>
            <a:solidFill>
              <a:srgbClr val="0066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Sheet1!$C$2:$C$3</c:f>
              <c:numCache>
                <c:formatCode>General</c:formatCode>
                <c:ptCount val="2"/>
                <c:pt idx="0">
                  <c:v>46</c:v>
                </c:pt>
                <c:pt idx="1">
                  <c:v>53</c:v>
                </c:pt>
              </c:numCache>
            </c:numRef>
          </c:val>
        </c:ser>
        <c:dLbls>
          <c:showLegendKey val="0"/>
          <c:showVal val="1"/>
          <c:showCatName val="0"/>
          <c:showSerName val="0"/>
          <c:showPercent val="0"/>
          <c:showBubbleSize val="0"/>
        </c:dLbls>
        <c:gapWidth val="150"/>
        <c:shape val="box"/>
        <c:axId val="112465408"/>
        <c:axId val="112466944"/>
        <c:axId val="0"/>
      </c:bar3DChart>
      <c:catAx>
        <c:axId val="112465408"/>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2466944"/>
        <c:crosses val="autoZero"/>
        <c:auto val="1"/>
        <c:lblAlgn val="ctr"/>
        <c:lblOffset val="100"/>
        <c:tickLblSkip val="1"/>
        <c:tickMarkSkip val="1"/>
        <c:noMultiLvlLbl val="0"/>
      </c:catAx>
      <c:valAx>
        <c:axId val="112466944"/>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2465408"/>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„Kde jste se Vy osobně o elektronické evidenci tržeb dozvěděl(a) nejvíce?“</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133374945782225"/>
          <c:y val="1.71008304508661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53144682105604601"/>
        </c:manualLayout>
      </c:layout>
      <c:bar3DChart>
        <c:barDir val="col"/>
        <c:grouping val="stacked"/>
        <c:varyColors val="0"/>
        <c:ser>
          <c:idx val="0"/>
          <c:order val="0"/>
          <c:tx>
            <c:strRef>
              <c:f>Sheet1!$B$1</c:f>
              <c:strCache>
                <c:ptCount val="1"/>
                <c:pt idx="0">
                  <c:v>Ve zpravodajství v tisku či televizi</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c:v>47</c:v>
                </c:pt>
                <c:pt idx="1">
                  <c:v>63</c:v>
                </c:pt>
                <c:pt idx="2">
                  <c:v>70</c:v>
                </c:pt>
                <c:pt idx="3">
                  <c:v>77</c:v>
                </c:pt>
              </c:numCache>
            </c:numRef>
          </c:val>
        </c:ser>
        <c:ser>
          <c:idx val="1"/>
          <c:order val="1"/>
          <c:tx>
            <c:strRef>
              <c:f>Sheet1!$C$1</c:f>
              <c:strCache>
                <c:ptCount val="1"/>
                <c:pt idx="0">
                  <c:v>Ve zpravodajství na internetu</c:v>
                </c:pt>
              </c:strCache>
            </c:strRef>
          </c:tx>
          <c:spPr>
            <a:solidFill>
              <a:srgbClr val="FF99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24</c:v>
                </c:pt>
                <c:pt idx="1">
                  <c:v>20</c:v>
                </c:pt>
                <c:pt idx="2">
                  <c:v>12</c:v>
                </c:pt>
                <c:pt idx="3">
                  <c:v>12</c:v>
                </c:pt>
              </c:numCache>
            </c:numRef>
          </c:val>
        </c:ser>
        <c:ser>
          <c:idx val="2"/>
          <c:order val="2"/>
          <c:tx>
            <c:strRef>
              <c:f>Sheet1!$D$1</c:f>
              <c:strCache>
                <c:ptCount val="1"/>
                <c:pt idx="0">
                  <c:v>Z politické diskuse v médiích</c:v>
                </c:pt>
              </c:strCache>
            </c:strRef>
          </c:tx>
          <c:spPr>
            <a:solidFill>
              <a:srgbClr val="FFCC66"/>
            </a:solidFill>
            <a:ln>
              <a:solidFill>
                <a:srgbClr val="000000"/>
              </a:solidFill>
            </a:ln>
          </c:spPr>
          <c:invertIfNegative val="0"/>
          <c:dLbls>
            <c:dLbl>
              <c:idx val="3"/>
              <c:layout>
                <c:manualLayout>
                  <c:x val="-1.7606155500130099E-2"/>
                  <c:y val="-3.1784191844376301E-3"/>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Sheet1!$D$2:$D$5</c:f>
              <c:numCache>
                <c:formatCode>General</c:formatCode>
                <c:ptCount val="4"/>
                <c:pt idx="0">
                  <c:v>10</c:v>
                </c:pt>
                <c:pt idx="1">
                  <c:v>8</c:v>
                </c:pt>
                <c:pt idx="2">
                  <c:v>11</c:v>
                </c:pt>
                <c:pt idx="3">
                  <c:v>7</c:v>
                </c:pt>
              </c:numCache>
            </c:numRef>
          </c:val>
        </c:ser>
        <c:ser>
          <c:idx val="3"/>
          <c:order val="3"/>
          <c:tx>
            <c:strRef>
              <c:f>Sheet1!$E$1</c:f>
              <c:strCache>
                <c:ptCount val="1"/>
                <c:pt idx="0">
                  <c:v>Od přátel, známých</c:v>
                </c:pt>
              </c:strCache>
            </c:strRef>
          </c:tx>
          <c:spPr>
            <a:solidFill>
              <a:srgbClr val="CCFFFF"/>
            </a:solidFill>
            <a:ln>
              <a:solidFill>
                <a:srgbClr val="000000"/>
              </a:solidFill>
            </a:ln>
          </c:spPr>
          <c:invertIfNegative val="0"/>
          <c:dLbls>
            <c:dLbl>
              <c:idx val="2"/>
              <c:layout>
                <c:manualLayout>
                  <c:x val="1.9806924937646402E-2"/>
                  <c:y val="2.9135172618678303E-17"/>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Sheet1!$E$2:$E$5</c:f>
              <c:numCache>
                <c:formatCode>General</c:formatCode>
                <c:ptCount val="4"/>
                <c:pt idx="0">
                  <c:v>16</c:v>
                </c:pt>
                <c:pt idx="1">
                  <c:v>6</c:v>
                </c:pt>
                <c:pt idx="2">
                  <c:v>5</c:v>
                </c:pt>
                <c:pt idx="3">
                  <c:v>2</c:v>
                </c:pt>
              </c:numCache>
            </c:numRef>
          </c:val>
        </c:ser>
        <c:ser>
          <c:idx val="4"/>
          <c:order val="4"/>
          <c:tx>
            <c:strRef>
              <c:f>Sheet1!$F$1</c:f>
              <c:strCache>
                <c:ptCount val="1"/>
                <c:pt idx="0">
                  <c:v>Jinde</c:v>
                </c:pt>
              </c:strCache>
            </c:strRef>
          </c:tx>
          <c:spPr>
            <a:solidFill>
              <a:srgbClr val="002060"/>
            </a:solidFill>
            <a:ln>
              <a:solidFill>
                <a:srgbClr val="000000"/>
              </a:solidFill>
            </a:ln>
          </c:spPr>
          <c:invertIfNegative val="0"/>
          <c:dLbls>
            <c:dLbl>
              <c:idx val="1"/>
              <c:layout>
                <c:manualLayout>
                  <c:x val="1.54053860626138E-2"/>
                  <c:y val="-3.17841838897735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20076943751626E-2"/>
                  <c:y val="0"/>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Sheet1!$F$2:$F$5</c:f>
              <c:numCache>
                <c:formatCode>General</c:formatCode>
                <c:ptCount val="4"/>
                <c:pt idx="0">
                  <c:v>3</c:v>
                </c:pt>
                <c:pt idx="1">
                  <c:v>3</c:v>
                </c:pt>
                <c:pt idx="2">
                  <c:v>2</c:v>
                </c:pt>
                <c:pt idx="3">
                  <c:v>2</c:v>
                </c:pt>
              </c:numCache>
            </c:numRef>
          </c:val>
        </c:ser>
        <c:dLbls>
          <c:showLegendKey val="0"/>
          <c:showVal val="1"/>
          <c:showCatName val="0"/>
          <c:showSerName val="0"/>
          <c:showPercent val="0"/>
          <c:showBubbleSize val="0"/>
        </c:dLbls>
        <c:gapWidth val="150"/>
        <c:shape val="box"/>
        <c:axId val="129869312"/>
        <c:axId val="129870848"/>
        <c:axId val="0"/>
      </c:bar3DChart>
      <c:catAx>
        <c:axId val="129869312"/>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9870848"/>
        <c:crosses val="autoZero"/>
        <c:auto val="1"/>
        <c:lblAlgn val="ctr"/>
        <c:lblOffset val="100"/>
        <c:tickLblSkip val="1"/>
        <c:tickMarkSkip val="1"/>
        <c:noMultiLvlLbl val="0"/>
      </c:catAx>
      <c:valAx>
        <c:axId val="129870848"/>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9869312"/>
        <c:crosses val="autoZero"/>
        <c:crossBetween val="between"/>
        <c:majorUnit val="20"/>
      </c:valAx>
      <c:spPr>
        <a:noFill/>
        <a:ln w="25415">
          <a:noFill/>
        </a:ln>
      </c:spPr>
    </c:plotArea>
    <c:legend>
      <c:legendPos val="b"/>
      <c:layout>
        <c:manualLayout>
          <c:xMode val="edge"/>
          <c:yMode val="edge"/>
          <c:x val="7.0429300801686606E-2"/>
          <c:y val="0.82086604664968399"/>
          <c:w val="0.85383529129609603"/>
          <c:h val="0.166420276612566"/>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„Kde jste se Vy osobně o elektronické evidenci tržeb dozvěděl(a) nejvíce?“</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názoru na zavedení elektronické evidence tržeb</a:t>
            </a:r>
          </a:p>
        </c:rich>
      </c:tx>
      <c:layout>
        <c:manualLayout>
          <c:xMode val="edge"/>
          <c:yMode val="edge"/>
          <c:x val="0.133374945782225"/>
          <c:y val="1.7100830450866199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53144682105604601"/>
        </c:manualLayout>
      </c:layout>
      <c:bar3DChart>
        <c:barDir val="col"/>
        <c:grouping val="stacked"/>
        <c:varyColors val="0"/>
        <c:ser>
          <c:idx val="0"/>
          <c:order val="0"/>
          <c:tx>
            <c:strRef>
              <c:f>Sheet1!$B$1</c:f>
              <c:strCache>
                <c:ptCount val="1"/>
                <c:pt idx="0">
                  <c:v>Ve zpravodajství v tisku či televizi</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Pozitivní opatření</c:v>
                </c:pt>
                <c:pt idx="1">
                  <c:v>Negativní opatření</c:v>
                </c:pt>
              </c:strCache>
            </c:strRef>
          </c:cat>
          <c:val>
            <c:numRef>
              <c:f>Sheet1!$B$2:$B$3</c:f>
              <c:numCache>
                <c:formatCode>General</c:formatCode>
                <c:ptCount val="2"/>
                <c:pt idx="0">
                  <c:v>71</c:v>
                </c:pt>
                <c:pt idx="1">
                  <c:v>59</c:v>
                </c:pt>
              </c:numCache>
            </c:numRef>
          </c:val>
        </c:ser>
        <c:ser>
          <c:idx val="1"/>
          <c:order val="1"/>
          <c:tx>
            <c:strRef>
              <c:f>Sheet1!$C$1</c:f>
              <c:strCache>
                <c:ptCount val="1"/>
                <c:pt idx="0">
                  <c:v>Ve zpravodajství na internetu</c:v>
                </c:pt>
              </c:strCache>
            </c:strRef>
          </c:tx>
          <c:spPr>
            <a:solidFill>
              <a:srgbClr val="FF99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Pozitivní opatření</c:v>
                </c:pt>
                <c:pt idx="1">
                  <c:v>Negativní opatření</c:v>
                </c:pt>
              </c:strCache>
            </c:strRef>
          </c:cat>
          <c:val>
            <c:numRef>
              <c:f>Sheet1!$C$2:$C$3</c:f>
              <c:numCache>
                <c:formatCode>General</c:formatCode>
                <c:ptCount val="2"/>
                <c:pt idx="0">
                  <c:v>15</c:v>
                </c:pt>
                <c:pt idx="1">
                  <c:v>19</c:v>
                </c:pt>
              </c:numCache>
            </c:numRef>
          </c:val>
        </c:ser>
        <c:ser>
          <c:idx val="2"/>
          <c:order val="2"/>
          <c:tx>
            <c:strRef>
              <c:f>Sheet1!$D$1</c:f>
              <c:strCache>
                <c:ptCount val="1"/>
                <c:pt idx="0">
                  <c:v>Z politické diskuse v médiích</c:v>
                </c:pt>
              </c:strCache>
            </c:strRef>
          </c:tx>
          <c:spPr>
            <a:solidFill>
              <a:srgbClr val="FFCC66"/>
            </a:solidFill>
            <a:ln>
              <a:solidFill>
                <a:srgbClr val="000000"/>
              </a:solidFill>
            </a:ln>
          </c:spPr>
          <c:invertIfNegative val="0"/>
          <c:dLbls>
            <c:dLbl>
              <c:idx val="3"/>
              <c:layout>
                <c:manualLayout>
                  <c:x val="-1.7606155500130099E-2"/>
                  <c:y val="-3.1784191844376301E-3"/>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Pozitivní opatření</c:v>
                </c:pt>
                <c:pt idx="1">
                  <c:v>Negativní opatření</c:v>
                </c:pt>
              </c:strCache>
            </c:strRef>
          </c:cat>
          <c:val>
            <c:numRef>
              <c:f>Sheet1!$D$2:$D$3</c:f>
              <c:numCache>
                <c:formatCode>General</c:formatCode>
                <c:ptCount val="2"/>
                <c:pt idx="0">
                  <c:v>8</c:v>
                </c:pt>
                <c:pt idx="1">
                  <c:v>9</c:v>
                </c:pt>
              </c:numCache>
            </c:numRef>
          </c:val>
        </c:ser>
        <c:ser>
          <c:idx val="3"/>
          <c:order val="3"/>
          <c:tx>
            <c:strRef>
              <c:f>Sheet1!$E$1</c:f>
              <c:strCache>
                <c:ptCount val="1"/>
                <c:pt idx="0">
                  <c:v>Od přátel, známých</c:v>
                </c:pt>
              </c:strCache>
            </c:strRef>
          </c:tx>
          <c:spPr>
            <a:solidFill>
              <a:srgbClr val="CCFFFF"/>
            </a:solidFill>
            <a:ln>
              <a:solidFill>
                <a:srgbClr val="000000"/>
              </a:solidFill>
            </a:ln>
          </c:spPr>
          <c:invertIfNegative val="0"/>
          <c:dLbls>
            <c:dLbl>
              <c:idx val="0"/>
              <c:layout>
                <c:manualLayout>
                  <c:x val="-2.20076943751625E-2"/>
                  <c:y val="-3.005050140563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9806924937646402E-2"/>
                  <c:y val="2.9135172618678303E-17"/>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Pozitivní opatření</c:v>
                </c:pt>
                <c:pt idx="1">
                  <c:v>Negativní opatření</c:v>
                </c:pt>
              </c:strCache>
            </c:strRef>
          </c:cat>
          <c:val>
            <c:numRef>
              <c:f>Sheet1!$E$2:$E$3</c:f>
              <c:numCache>
                <c:formatCode>General</c:formatCode>
                <c:ptCount val="2"/>
                <c:pt idx="0">
                  <c:v>5</c:v>
                </c:pt>
                <c:pt idx="1">
                  <c:v>9</c:v>
                </c:pt>
              </c:numCache>
            </c:numRef>
          </c:val>
        </c:ser>
        <c:ser>
          <c:idx val="4"/>
          <c:order val="4"/>
          <c:tx>
            <c:strRef>
              <c:f>Sheet1!$F$1</c:f>
              <c:strCache>
                <c:ptCount val="1"/>
                <c:pt idx="0">
                  <c:v>Jinde</c:v>
                </c:pt>
              </c:strCache>
            </c:strRef>
          </c:tx>
          <c:spPr>
            <a:solidFill>
              <a:srgbClr val="002060"/>
            </a:solidFill>
            <a:ln>
              <a:solidFill>
                <a:srgbClr val="000000"/>
              </a:solidFill>
            </a:ln>
          </c:spPr>
          <c:invertIfNegative val="0"/>
          <c:dLbls>
            <c:dLbl>
              <c:idx val="0"/>
              <c:layout>
                <c:manualLayout>
                  <c:x val="3.5212311000260101E-2"/>
                  <c:y val="2.754597474171E-1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54053860626138E-2"/>
                  <c:y val="-3.17841838897735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20076943751626E-2"/>
                  <c:y val="0"/>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Pozitivní opatření</c:v>
                </c:pt>
                <c:pt idx="1">
                  <c:v>Negativní opatření</c:v>
                </c:pt>
              </c:strCache>
            </c:strRef>
          </c:cat>
          <c:val>
            <c:numRef>
              <c:f>Sheet1!$F$2:$F$3</c:f>
              <c:numCache>
                <c:formatCode>General</c:formatCode>
                <c:ptCount val="2"/>
                <c:pt idx="0">
                  <c:v>1</c:v>
                </c:pt>
                <c:pt idx="1">
                  <c:v>4</c:v>
                </c:pt>
              </c:numCache>
            </c:numRef>
          </c:val>
        </c:ser>
        <c:dLbls>
          <c:showLegendKey val="0"/>
          <c:showVal val="1"/>
          <c:showCatName val="0"/>
          <c:showSerName val="0"/>
          <c:showPercent val="0"/>
          <c:showBubbleSize val="0"/>
        </c:dLbls>
        <c:gapWidth val="150"/>
        <c:shape val="box"/>
        <c:axId val="129926272"/>
        <c:axId val="129927808"/>
        <c:axId val="0"/>
      </c:bar3DChart>
      <c:catAx>
        <c:axId val="129926272"/>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9927808"/>
        <c:crosses val="autoZero"/>
        <c:auto val="1"/>
        <c:lblAlgn val="ctr"/>
        <c:lblOffset val="100"/>
        <c:tickLblSkip val="1"/>
        <c:tickMarkSkip val="1"/>
        <c:noMultiLvlLbl val="0"/>
      </c:catAx>
      <c:valAx>
        <c:axId val="129927808"/>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9926272"/>
        <c:crosses val="autoZero"/>
        <c:crossBetween val="between"/>
        <c:majorUnit val="20"/>
      </c:valAx>
      <c:spPr>
        <a:noFill/>
        <a:ln w="25415">
          <a:noFill/>
        </a:ln>
      </c:spPr>
    </c:plotArea>
    <c:legend>
      <c:legendPos val="b"/>
      <c:layout>
        <c:manualLayout>
          <c:xMode val="edge"/>
          <c:yMode val="edge"/>
          <c:x val="7.0429300801686606E-2"/>
          <c:y val="0.82086604664968399"/>
          <c:w val="0.85383529129609603"/>
          <c:h val="0.166420276612566"/>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206484641638225"/>
          <c:y val="0.27054794520547898"/>
          <c:w val="0.63481228668942002"/>
          <c:h val="0.57191780821917804"/>
        </c:manualLayout>
      </c:layout>
      <c:pie3DChart>
        <c:varyColors val="1"/>
        <c:ser>
          <c:idx val="0"/>
          <c:order val="0"/>
          <c:tx>
            <c:strRef>
              <c:f>Sheet1!$B$1</c:f>
              <c:strCache>
                <c:ptCount val="1"/>
              </c:strCache>
            </c:strRef>
          </c:tx>
          <c:spPr>
            <a:ln w="12689">
              <a:solidFill>
                <a:srgbClr val="000000"/>
              </a:solidFill>
              <a:prstDash val="solid"/>
            </a:ln>
          </c:spPr>
          <c:dPt>
            <c:idx val="0"/>
            <c:bubble3D val="0"/>
            <c:spPr>
              <a:solidFill>
                <a:srgbClr val="FF9933"/>
              </a:solidFill>
              <a:ln w="12689">
                <a:solidFill>
                  <a:srgbClr val="000000"/>
                </a:solidFill>
                <a:prstDash val="solid"/>
              </a:ln>
            </c:spPr>
          </c:dPt>
          <c:dPt>
            <c:idx val="1"/>
            <c:bubble3D val="0"/>
            <c:spPr>
              <a:solidFill>
                <a:srgbClr val="CC3300"/>
              </a:solidFill>
              <a:ln w="12689">
                <a:solidFill>
                  <a:srgbClr val="000000"/>
                </a:solidFill>
                <a:prstDash val="solid"/>
              </a:ln>
            </c:spPr>
          </c:dPt>
          <c:dPt>
            <c:idx val="2"/>
            <c:bubble3D val="0"/>
            <c:spPr>
              <a:solidFill>
                <a:srgbClr val="CCFFCC"/>
              </a:solidFill>
              <a:ln w="12689">
                <a:solidFill>
                  <a:srgbClr val="000000"/>
                </a:solidFill>
                <a:prstDash val="solid"/>
              </a:ln>
            </c:spPr>
          </c:dPt>
          <c:dPt>
            <c:idx val="3"/>
            <c:bubble3D val="0"/>
            <c:spPr>
              <a:solidFill>
                <a:srgbClr val="CCFFFF"/>
              </a:solidFill>
              <a:ln w="12689">
                <a:solidFill>
                  <a:srgbClr val="000000"/>
                </a:solidFill>
                <a:prstDash val="solid"/>
              </a:ln>
            </c:spPr>
          </c:dPt>
          <c:dPt>
            <c:idx val="4"/>
            <c:bubble3D val="0"/>
            <c:spPr>
              <a:solidFill>
                <a:srgbClr val="000080"/>
              </a:solidFill>
              <a:ln w="12689">
                <a:solidFill>
                  <a:srgbClr val="000000"/>
                </a:solidFill>
                <a:prstDash val="solid"/>
              </a:ln>
            </c:spPr>
          </c:dPt>
          <c:dPt>
            <c:idx val="5"/>
            <c:bubble3D val="0"/>
            <c:spPr>
              <a:solidFill>
                <a:srgbClr val="CCCCFF"/>
              </a:solidFill>
              <a:ln w="12689">
                <a:solidFill>
                  <a:srgbClr val="000000"/>
                </a:solidFill>
                <a:prstDash val="solid"/>
              </a:ln>
            </c:spPr>
          </c:dPt>
          <c:dPt>
            <c:idx val="6"/>
            <c:bubble3D val="0"/>
            <c:spPr>
              <a:solidFill>
                <a:srgbClr val="33CCCC"/>
              </a:solidFill>
              <a:ln w="12689">
                <a:solidFill>
                  <a:srgbClr val="000000"/>
                </a:solidFill>
                <a:prstDash val="solid"/>
              </a:ln>
            </c:spPr>
          </c:dPt>
          <c:dLbls>
            <c:dLbl>
              <c:idx val="0"/>
              <c:layout>
                <c:manualLayout>
                  <c:x val="-7.3141309651966302E-2"/>
                  <c:y val="-0.223964961032824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8.8272415554738803E-2"/>
                  <c:y val="1.14307427477418E-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1.6945845391239701E-2"/>
                  <c:y val="-0.13749461084845299"/>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5.0225252537188497E-3"/>
                  <c:y val="4.85416604491253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9.7387428039289407E-3"/>
                  <c:y val="-0.24278542240029999"/>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Mode val="edge"/>
                  <c:yMode val="edge"/>
                  <c:x val="9.8976109215017094E-2"/>
                  <c:y val="0.342465753424658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79">
                <a:noFill/>
              </a:ln>
            </c:spPr>
            <c:txPr>
              <a:bodyPr/>
              <a:lstStyle/>
              <a:p>
                <a:pPr>
                  <a:defRPr sz="1199"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Sheet1!$A$2:$A$4</c:f>
              <c:strCache>
                <c:ptCount val="3"/>
                <c:pt idx="0">
                  <c:v>Víte vše, co potřebujete vědět</c:v>
                </c:pt>
                <c:pt idx="1">
                  <c:v>Chtěl(a) byste vědět více</c:v>
                </c:pt>
                <c:pt idx="2">
                  <c:v>Téma Vás vůbec nezajímá</c:v>
                </c:pt>
              </c:strCache>
            </c:strRef>
          </c:cat>
          <c:val>
            <c:numRef>
              <c:f>Sheet1!$B$2:$B$4</c:f>
              <c:numCache>
                <c:formatCode>General</c:formatCode>
                <c:ptCount val="3"/>
                <c:pt idx="0">
                  <c:v>41</c:v>
                </c:pt>
                <c:pt idx="1">
                  <c:v>36</c:v>
                </c:pt>
                <c:pt idx="2">
                  <c:v>23</c:v>
                </c:pt>
              </c:numCache>
            </c:numRef>
          </c:val>
        </c:ser>
        <c:dLbls>
          <c:showLegendKey val="0"/>
          <c:showVal val="0"/>
          <c:showCatName val="1"/>
          <c:showSerName val="0"/>
          <c:showPercent val="1"/>
          <c:showBubbleSize val="0"/>
          <c:showLeaderLines val="0"/>
        </c:dLbls>
      </c:pie3DChart>
      <c:spPr>
        <a:noFill/>
        <a:ln w="25379">
          <a:noFill/>
        </a:ln>
      </c:spPr>
    </c:plotArea>
    <c:plotVisOnly val="1"/>
    <c:dispBlanksAs val="zero"/>
    <c:showDLblsOverMax val="0"/>
  </c:chart>
  <c:spPr>
    <a:noFill/>
    <a:ln>
      <a:noFill/>
    </a:ln>
  </c:spPr>
  <c:txPr>
    <a:bodyPr/>
    <a:lstStyle/>
    <a:p>
      <a:pPr>
        <a:defRPr sz="1099"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„Řekl(a) byste, že o elektronické evidenci tržeb:“</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239011878783006"/>
          <c:y val="3.61769225763498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Víte vše, co potřebujete</c:v>
                </c:pt>
              </c:strCache>
            </c:strRef>
          </c:tx>
          <c:spPr>
            <a:solidFill>
              <a:srgbClr val="C0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c:v>30</c:v>
                </c:pt>
                <c:pt idx="1">
                  <c:v>36</c:v>
                </c:pt>
                <c:pt idx="2">
                  <c:v>45</c:v>
                </c:pt>
                <c:pt idx="3">
                  <c:v>47</c:v>
                </c:pt>
              </c:numCache>
            </c:numRef>
          </c:val>
        </c:ser>
        <c:ser>
          <c:idx val="1"/>
          <c:order val="1"/>
          <c:tx>
            <c:strRef>
              <c:f>Sheet1!$C$1</c:f>
              <c:strCache>
                <c:ptCount val="1"/>
                <c:pt idx="0">
                  <c:v>Chtěl(a) byste vědět více</c:v>
                </c:pt>
              </c:strCache>
            </c:strRef>
          </c:tx>
          <c:spPr>
            <a:solidFill>
              <a:schemeClr val="accent6"/>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46</c:v>
                </c:pt>
                <c:pt idx="1">
                  <c:v>42</c:v>
                </c:pt>
                <c:pt idx="2">
                  <c:v>38</c:v>
                </c:pt>
                <c:pt idx="3">
                  <c:v>23</c:v>
                </c:pt>
              </c:numCache>
            </c:numRef>
          </c:val>
        </c:ser>
        <c:ser>
          <c:idx val="2"/>
          <c:order val="2"/>
          <c:tx>
            <c:strRef>
              <c:f>Sheet1!$D$1</c:f>
              <c:strCache>
                <c:ptCount val="1"/>
                <c:pt idx="0">
                  <c:v>Téma Vás vůbec nezajímá</c:v>
                </c:pt>
              </c:strCache>
            </c:strRef>
          </c:tx>
          <c:spPr>
            <a:solidFill>
              <a:srgbClr val="CCFFCC"/>
            </a:solidFill>
            <a:ln>
              <a:solidFill>
                <a:srgbClr val="000000"/>
              </a:solidFill>
            </a:ln>
          </c:spPr>
          <c:invertIfNegative val="0"/>
          <c:dLbls>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Sheet1!$D$2:$D$5</c:f>
              <c:numCache>
                <c:formatCode>General</c:formatCode>
                <c:ptCount val="4"/>
                <c:pt idx="0">
                  <c:v>24</c:v>
                </c:pt>
                <c:pt idx="1">
                  <c:v>22</c:v>
                </c:pt>
                <c:pt idx="2">
                  <c:v>17</c:v>
                </c:pt>
                <c:pt idx="3">
                  <c:v>30</c:v>
                </c:pt>
              </c:numCache>
            </c:numRef>
          </c:val>
        </c:ser>
        <c:dLbls>
          <c:showLegendKey val="0"/>
          <c:showVal val="1"/>
          <c:showCatName val="0"/>
          <c:showSerName val="0"/>
          <c:showPercent val="0"/>
          <c:showBubbleSize val="0"/>
        </c:dLbls>
        <c:gapWidth val="150"/>
        <c:shape val="box"/>
        <c:axId val="128506880"/>
        <c:axId val="128389888"/>
        <c:axId val="0"/>
      </c:bar3DChart>
      <c:catAx>
        <c:axId val="12850688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8389888"/>
        <c:crosses val="autoZero"/>
        <c:auto val="1"/>
        <c:lblAlgn val="ctr"/>
        <c:lblOffset val="100"/>
        <c:tickLblSkip val="1"/>
        <c:tickMarkSkip val="1"/>
        <c:noMultiLvlLbl val="0"/>
      </c:catAx>
      <c:valAx>
        <c:axId val="128389888"/>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28506880"/>
        <c:crosses val="autoZero"/>
        <c:crossBetween val="between"/>
        <c:majorUnit val="20"/>
      </c:valAx>
      <c:spPr>
        <a:noFill/>
        <a:ln w="25415">
          <a:noFill/>
        </a:ln>
      </c:spPr>
    </c:plotArea>
    <c:legend>
      <c:legendPos val="b"/>
      <c:layout>
        <c:manualLayout>
          <c:xMode val="edge"/>
          <c:yMode val="edge"/>
          <c:x val="9.2436974789915902E-2"/>
          <c:y val="0.92575406032482599"/>
          <c:w val="0.89999998267110703"/>
          <c:h val="5.7396229644983199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„Řekl(a) byste, že o elektronické evidenci tržeb:“</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pohlaví</a:t>
            </a:r>
          </a:p>
        </c:rich>
      </c:tx>
      <c:layout>
        <c:manualLayout>
          <c:xMode val="edge"/>
          <c:yMode val="edge"/>
          <c:x val="0.239011878783006"/>
          <c:y val="3.6176922576349899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Víte vše, co potřebujete</c:v>
                </c:pt>
              </c:strCache>
            </c:strRef>
          </c:tx>
          <c:spPr>
            <a:solidFill>
              <a:srgbClr val="C0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Sheet1!$B$2:$B$3</c:f>
              <c:numCache>
                <c:formatCode>General</c:formatCode>
                <c:ptCount val="2"/>
                <c:pt idx="0">
                  <c:v>44</c:v>
                </c:pt>
                <c:pt idx="1">
                  <c:v>37</c:v>
                </c:pt>
              </c:numCache>
            </c:numRef>
          </c:val>
        </c:ser>
        <c:ser>
          <c:idx val="1"/>
          <c:order val="1"/>
          <c:tx>
            <c:strRef>
              <c:f>Sheet1!$C$1</c:f>
              <c:strCache>
                <c:ptCount val="1"/>
                <c:pt idx="0">
                  <c:v>Chtěl(a) byste vědět více</c:v>
                </c:pt>
              </c:strCache>
            </c:strRef>
          </c:tx>
          <c:spPr>
            <a:solidFill>
              <a:schemeClr val="accent6"/>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Sheet1!$C$2:$C$3</c:f>
              <c:numCache>
                <c:formatCode>General</c:formatCode>
                <c:ptCount val="2"/>
                <c:pt idx="0">
                  <c:v>37</c:v>
                </c:pt>
                <c:pt idx="1">
                  <c:v>35</c:v>
                </c:pt>
              </c:numCache>
            </c:numRef>
          </c:val>
        </c:ser>
        <c:ser>
          <c:idx val="2"/>
          <c:order val="2"/>
          <c:tx>
            <c:strRef>
              <c:f>Sheet1!$D$1</c:f>
              <c:strCache>
                <c:ptCount val="1"/>
                <c:pt idx="0">
                  <c:v>Téma Vás vůbec nezajímá</c:v>
                </c:pt>
              </c:strCache>
            </c:strRef>
          </c:tx>
          <c:spPr>
            <a:solidFill>
              <a:srgbClr val="CCFFCC"/>
            </a:solidFill>
            <a:ln>
              <a:solidFill>
                <a:srgbClr val="000000"/>
              </a:solidFill>
            </a:ln>
          </c:spPr>
          <c:invertIfNegative val="0"/>
          <c:dLbls>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Sheet1!$D$2:$D$3</c:f>
              <c:numCache>
                <c:formatCode>General</c:formatCode>
                <c:ptCount val="2"/>
                <c:pt idx="0">
                  <c:v>19</c:v>
                </c:pt>
                <c:pt idx="1">
                  <c:v>28</c:v>
                </c:pt>
              </c:numCache>
            </c:numRef>
          </c:val>
        </c:ser>
        <c:dLbls>
          <c:showLegendKey val="0"/>
          <c:showVal val="1"/>
          <c:showCatName val="0"/>
          <c:showSerName val="0"/>
          <c:showPercent val="0"/>
          <c:showBubbleSize val="0"/>
        </c:dLbls>
        <c:gapWidth val="150"/>
        <c:shape val="box"/>
        <c:axId val="130236800"/>
        <c:axId val="130238336"/>
        <c:axId val="0"/>
      </c:bar3DChart>
      <c:catAx>
        <c:axId val="13023680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238336"/>
        <c:crosses val="autoZero"/>
        <c:auto val="1"/>
        <c:lblAlgn val="ctr"/>
        <c:lblOffset val="100"/>
        <c:tickLblSkip val="1"/>
        <c:tickMarkSkip val="1"/>
        <c:noMultiLvlLbl val="0"/>
      </c:catAx>
      <c:valAx>
        <c:axId val="13023833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236800"/>
        <c:crosses val="autoZero"/>
        <c:crossBetween val="between"/>
        <c:majorUnit val="20"/>
      </c:valAx>
      <c:spPr>
        <a:noFill/>
        <a:ln w="25415">
          <a:noFill/>
        </a:ln>
      </c:spPr>
    </c:plotArea>
    <c:legend>
      <c:legendPos val="b"/>
      <c:layout>
        <c:manualLayout>
          <c:xMode val="edge"/>
          <c:yMode val="edge"/>
          <c:x val="9.2436974789915902E-2"/>
          <c:y val="0.92575406032482599"/>
          <c:w val="0.89999998267110703"/>
          <c:h val="5.7396229644983199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„Řekl(a) byste, že o elektronické evidenci tržeb:“</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vzdělání</a:t>
            </a:r>
          </a:p>
        </c:rich>
      </c:tx>
      <c:layout>
        <c:manualLayout>
          <c:xMode val="edge"/>
          <c:yMode val="edge"/>
          <c:x val="0.239011878783006"/>
          <c:y val="3.61769225763498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Víte vše, co potřebujete</c:v>
                </c:pt>
              </c:strCache>
            </c:strRef>
          </c:tx>
          <c:spPr>
            <a:solidFill>
              <a:srgbClr val="C0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Sheet1!$B$2:$B$5</c:f>
              <c:numCache>
                <c:formatCode>General</c:formatCode>
                <c:ptCount val="4"/>
                <c:pt idx="0">
                  <c:v>23</c:v>
                </c:pt>
                <c:pt idx="1">
                  <c:v>39</c:v>
                </c:pt>
                <c:pt idx="2">
                  <c:v>45</c:v>
                </c:pt>
                <c:pt idx="3">
                  <c:v>43</c:v>
                </c:pt>
              </c:numCache>
            </c:numRef>
          </c:val>
        </c:ser>
        <c:ser>
          <c:idx val="1"/>
          <c:order val="1"/>
          <c:tx>
            <c:strRef>
              <c:f>Sheet1!$C$1</c:f>
              <c:strCache>
                <c:ptCount val="1"/>
                <c:pt idx="0">
                  <c:v>Chtěl(a) byste vědět více</c:v>
                </c:pt>
              </c:strCache>
            </c:strRef>
          </c:tx>
          <c:spPr>
            <a:solidFill>
              <a:schemeClr val="accent6"/>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Sheet1!$C$2:$C$5</c:f>
              <c:numCache>
                <c:formatCode>General</c:formatCode>
                <c:ptCount val="4"/>
                <c:pt idx="0">
                  <c:v>45</c:v>
                </c:pt>
                <c:pt idx="1">
                  <c:v>34</c:v>
                </c:pt>
                <c:pt idx="2">
                  <c:v>36</c:v>
                </c:pt>
                <c:pt idx="3">
                  <c:v>38</c:v>
                </c:pt>
              </c:numCache>
            </c:numRef>
          </c:val>
        </c:ser>
        <c:ser>
          <c:idx val="2"/>
          <c:order val="2"/>
          <c:tx>
            <c:strRef>
              <c:f>Sheet1!$D$1</c:f>
              <c:strCache>
                <c:ptCount val="1"/>
                <c:pt idx="0">
                  <c:v>Téma Vás vůbec nezajímá</c:v>
                </c:pt>
              </c:strCache>
            </c:strRef>
          </c:tx>
          <c:spPr>
            <a:solidFill>
              <a:srgbClr val="CCFFCC"/>
            </a:solidFill>
            <a:ln>
              <a:solidFill>
                <a:srgbClr val="000000"/>
              </a:solidFill>
            </a:ln>
          </c:spPr>
          <c:invertIfNegative val="0"/>
          <c:dLbls>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Sheet1!$D$2:$D$5</c:f>
              <c:numCache>
                <c:formatCode>General</c:formatCode>
                <c:ptCount val="4"/>
                <c:pt idx="0">
                  <c:v>32</c:v>
                </c:pt>
                <c:pt idx="1">
                  <c:v>27</c:v>
                </c:pt>
                <c:pt idx="2">
                  <c:v>19</c:v>
                </c:pt>
                <c:pt idx="3">
                  <c:v>19</c:v>
                </c:pt>
              </c:numCache>
            </c:numRef>
          </c:val>
        </c:ser>
        <c:dLbls>
          <c:showLegendKey val="0"/>
          <c:showVal val="1"/>
          <c:showCatName val="0"/>
          <c:showSerName val="0"/>
          <c:showPercent val="0"/>
          <c:showBubbleSize val="0"/>
        </c:dLbls>
        <c:gapWidth val="150"/>
        <c:shape val="box"/>
        <c:axId val="130291200"/>
        <c:axId val="130292736"/>
        <c:axId val="0"/>
      </c:bar3DChart>
      <c:catAx>
        <c:axId val="13029120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292736"/>
        <c:crosses val="autoZero"/>
        <c:auto val="1"/>
        <c:lblAlgn val="ctr"/>
        <c:lblOffset val="100"/>
        <c:tickLblSkip val="1"/>
        <c:tickMarkSkip val="1"/>
        <c:noMultiLvlLbl val="0"/>
      </c:catAx>
      <c:valAx>
        <c:axId val="13029273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291200"/>
        <c:crosses val="autoZero"/>
        <c:crossBetween val="between"/>
        <c:majorUnit val="20"/>
      </c:valAx>
      <c:spPr>
        <a:noFill/>
        <a:ln w="25415">
          <a:noFill/>
        </a:ln>
      </c:spPr>
    </c:plotArea>
    <c:legend>
      <c:legendPos val="b"/>
      <c:layout>
        <c:manualLayout>
          <c:xMode val="edge"/>
          <c:yMode val="edge"/>
          <c:x val="9.2436974789915902E-2"/>
          <c:y val="0.92575406032482599"/>
          <c:w val="0.89999998267110703"/>
          <c:h val="5.7396229644983199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206484641638225"/>
          <c:y val="0.27054794520547898"/>
          <c:w val="0.63481228668942002"/>
          <c:h val="0.57191780821917804"/>
        </c:manualLayout>
      </c:layout>
      <c:pie3DChart>
        <c:varyColors val="1"/>
        <c:ser>
          <c:idx val="0"/>
          <c:order val="0"/>
          <c:tx>
            <c:strRef>
              <c:f>Sheet1!$B$1</c:f>
              <c:strCache>
                <c:ptCount val="1"/>
              </c:strCache>
            </c:strRef>
          </c:tx>
          <c:spPr>
            <a:ln w="12689">
              <a:solidFill>
                <a:srgbClr val="000000"/>
              </a:solidFill>
              <a:prstDash val="solid"/>
            </a:ln>
          </c:spPr>
          <c:dPt>
            <c:idx val="0"/>
            <c:bubble3D val="0"/>
            <c:spPr>
              <a:solidFill>
                <a:srgbClr val="FF9933"/>
              </a:solidFill>
              <a:ln w="12689">
                <a:solidFill>
                  <a:srgbClr val="000000"/>
                </a:solidFill>
                <a:prstDash val="solid"/>
              </a:ln>
            </c:spPr>
          </c:dPt>
          <c:dPt>
            <c:idx val="1"/>
            <c:bubble3D val="0"/>
            <c:spPr>
              <a:solidFill>
                <a:srgbClr val="CC3300"/>
              </a:solidFill>
              <a:ln w="12689">
                <a:solidFill>
                  <a:srgbClr val="000000"/>
                </a:solidFill>
                <a:prstDash val="solid"/>
              </a:ln>
            </c:spPr>
          </c:dPt>
          <c:dPt>
            <c:idx val="2"/>
            <c:bubble3D val="0"/>
            <c:spPr>
              <a:solidFill>
                <a:srgbClr val="CCFFCC"/>
              </a:solidFill>
              <a:ln w="12689">
                <a:solidFill>
                  <a:srgbClr val="000000"/>
                </a:solidFill>
                <a:prstDash val="solid"/>
              </a:ln>
            </c:spPr>
          </c:dPt>
          <c:dPt>
            <c:idx val="3"/>
            <c:bubble3D val="0"/>
            <c:spPr>
              <a:solidFill>
                <a:srgbClr val="CCFFFF"/>
              </a:solidFill>
              <a:ln w="12689">
                <a:solidFill>
                  <a:srgbClr val="000000"/>
                </a:solidFill>
                <a:prstDash val="solid"/>
              </a:ln>
            </c:spPr>
          </c:dPt>
          <c:dPt>
            <c:idx val="4"/>
            <c:bubble3D val="0"/>
            <c:spPr>
              <a:solidFill>
                <a:srgbClr val="000080"/>
              </a:solidFill>
              <a:ln w="12689">
                <a:solidFill>
                  <a:srgbClr val="000000"/>
                </a:solidFill>
                <a:prstDash val="solid"/>
              </a:ln>
            </c:spPr>
          </c:dPt>
          <c:dPt>
            <c:idx val="5"/>
            <c:bubble3D val="0"/>
            <c:spPr>
              <a:solidFill>
                <a:srgbClr val="CCCCFF"/>
              </a:solidFill>
              <a:ln w="12689">
                <a:solidFill>
                  <a:srgbClr val="000000"/>
                </a:solidFill>
                <a:prstDash val="solid"/>
              </a:ln>
            </c:spPr>
          </c:dPt>
          <c:dPt>
            <c:idx val="6"/>
            <c:bubble3D val="0"/>
            <c:spPr>
              <a:solidFill>
                <a:srgbClr val="33CCCC"/>
              </a:solidFill>
              <a:ln w="12689">
                <a:solidFill>
                  <a:srgbClr val="000000"/>
                </a:solidFill>
                <a:prstDash val="solid"/>
              </a:ln>
            </c:spPr>
          </c:dPt>
          <c:dLbls>
            <c:dLbl>
              <c:idx val="0"/>
              <c:layout>
                <c:manualLayout>
                  <c:x val="-2.17016779604336E-2"/>
                  <c:y val="-0.40073261143930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4.3542477143175697E-2"/>
                  <c:y val="2.3239030575584001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4.5676314928886998E-2"/>
                  <c:y val="-7.1206741946023999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5.0225252537188497E-3"/>
                  <c:y val="4.85416604491253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9.7387428039289407E-3"/>
                  <c:y val="-0.24278542240029999"/>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Mode val="edge"/>
                  <c:yMode val="edge"/>
                  <c:x val="9.8976109215017094E-2"/>
                  <c:y val="0.342465753424658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79">
                <a:noFill/>
              </a:ln>
            </c:spPr>
            <c:txPr>
              <a:bodyPr/>
              <a:lstStyle/>
              <a:p>
                <a:pPr>
                  <a:defRPr sz="1199"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Sheet1!$A$2:$A$4</c:f>
              <c:strCache>
                <c:ptCount val="3"/>
                <c:pt idx="0">
                  <c:v>Ano</c:v>
                </c:pt>
                <c:pt idx="1">
                  <c:v>Ne</c:v>
                </c:pt>
                <c:pt idx="2">
                  <c:v>Nezajímá mne to</c:v>
                </c:pt>
              </c:strCache>
            </c:strRef>
          </c:cat>
          <c:val>
            <c:numRef>
              <c:f>Sheet1!$B$2:$B$4</c:f>
              <c:numCache>
                <c:formatCode>General</c:formatCode>
                <c:ptCount val="3"/>
                <c:pt idx="0">
                  <c:v>58</c:v>
                </c:pt>
                <c:pt idx="1">
                  <c:v>25</c:v>
                </c:pt>
                <c:pt idx="2">
                  <c:v>17</c:v>
                </c:pt>
              </c:numCache>
            </c:numRef>
          </c:val>
        </c:ser>
        <c:dLbls>
          <c:showLegendKey val="0"/>
          <c:showVal val="0"/>
          <c:showCatName val="1"/>
          <c:showSerName val="0"/>
          <c:showPercent val="1"/>
          <c:showBubbleSize val="0"/>
          <c:showLeaderLines val="0"/>
        </c:dLbls>
      </c:pie3DChart>
      <c:spPr>
        <a:noFill/>
        <a:ln w="25379">
          <a:noFill/>
        </a:ln>
      </c:spPr>
    </c:plotArea>
    <c:plotVisOnly val="1"/>
    <c:dispBlanksAs val="zero"/>
    <c:showDLblsOverMax val="0"/>
  </c:chart>
  <c:spPr>
    <a:noFill/>
    <a:ln>
      <a:noFill/>
    </a:ln>
  </c:spPr>
  <c:txPr>
    <a:bodyPr/>
    <a:lstStyle/>
    <a:p>
      <a:pPr>
        <a:defRPr sz="1099"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„Víte, kde případně další informace o elektronické evidenci tržeb hledat?“</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19279572059516401"/>
          <c:y val="1.7107588188475801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Ano</c:v>
                </c:pt>
              </c:strCache>
            </c:strRef>
          </c:tx>
          <c:spPr>
            <a:solidFill>
              <a:srgbClr val="FF9933"/>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c:v>64</c:v>
                </c:pt>
                <c:pt idx="1">
                  <c:v>53</c:v>
                </c:pt>
                <c:pt idx="2">
                  <c:v>59</c:v>
                </c:pt>
                <c:pt idx="3">
                  <c:v>58</c:v>
                </c:pt>
              </c:numCache>
            </c:numRef>
          </c:val>
        </c:ser>
        <c:ser>
          <c:idx val="1"/>
          <c:order val="1"/>
          <c:tx>
            <c:strRef>
              <c:f>Sheet1!$C$1</c:f>
              <c:strCache>
                <c:ptCount val="1"/>
                <c:pt idx="0">
                  <c:v>Ne</c:v>
                </c:pt>
              </c:strCache>
            </c:strRef>
          </c:tx>
          <c:spPr>
            <a:solidFill>
              <a:srgbClr val="C00000"/>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24</c:v>
                </c:pt>
                <c:pt idx="1">
                  <c:v>31</c:v>
                </c:pt>
                <c:pt idx="2">
                  <c:v>26</c:v>
                </c:pt>
                <c:pt idx="3">
                  <c:v>19</c:v>
                </c:pt>
              </c:numCache>
            </c:numRef>
          </c:val>
        </c:ser>
        <c:ser>
          <c:idx val="2"/>
          <c:order val="2"/>
          <c:tx>
            <c:strRef>
              <c:f>Sheet1!$D$1</c:f>
              <c:strCache>
                <c:ptCount val="1"/>
                <c:pt idx="0">
                  <c:v>Nezajímá mne to</c:v>
                </c:pt>
              </c:strCache>
            </c:strRef>
          </c:tx>
          <c:spPr>
            <a:solidFill>
              <a:srgbClr val="CCFFCC"/>
            </a:solidFill>
            <a:ln>
              <a:solidFill>
                <a:srgbClr val="000000"/>
              </a:solidFill>
            </a:ln>
          </c:spPr>
          <c:invertIfNegative val="0"/>
          <c:dLbls>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Sheet1!$D$2:$D$5</c:f>
              <c:numCache>
                <c:formatCode>General</c:formatCode>
                <c:ptCount val="4"/>
                <c:pt idx="0">
                  <c:v>12</c:v>
                </c:pt>
                <c:pt idx="1">
                  <c:v>16</c:v>
                </c:pt>
                <c:pt idx="2">
                  <c:v>15</c:v>
                </c:pt>
                <c:pt idx="3">
                  <c:v>23</c:v>
                </c:pt>
              </c:numCache>
            </c:numRef>
          </c:val>
        </c:ser>
        <c:dLbls>
          <c:showLegendKey val="0"/>
          <c:showVal val="1"/>
          <c:showCatName val="0"/>
          <c:showSerName val="0"/>
          <c:showPercent val="0"/>
          <c:showBubbleSize val="0"/>
        </c:dLbls>
        <c:gapWidth val="150"/>
        <c:shape val="box"/>
        <c:axId val="130518016"/>
        <c:axId val="130528000"/>
        <c:axId val="0"/>
      </c:bar3DChart>
      <c:catAx>
        <c:axId val="13051801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528000"/>
        <c:crosses val="autoZero"/>
        <c:auto val="1"/>
        <c:lblAlgn val="ctr"/>
        <c:lblOffset val="100"/>
        <c:tickLblSkip val="1"/>
        <c:tickMarkSkip val="1"/>
        <c:noMultiLvlLbl val="0"/>
      </c:catAx>
      <c:valAx>
        <c:axId val="130528000"/>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518016"/>
        <c:crosses val="autoZero"/>
        <c:crossBetween val="between"/>
        <c:majorUnit val="20"/>
      </c:valAx>
      <c:spPr>
        <a:noFill/>
        <a:ln w="25415">
          <a:noFill/>
        </a:ln>
      </c:spPr>
    </c:plotArea>
    <c:legend>
      <c:legendPos val="b"/>
      <c:layout>
        <c:manualLayout>
          <c:xMode val="edge"/>
          <c:yMode val="edge"/>
          <c:x val="9.2436974789915902E-2"/>
          <c:y val="0.92575406032482599"/>
          <c:w val="0.89999998267110703"/>
          <c:h val="5.7396229644983199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„Víte, kde případně další informace o elektronické evidenci tržeb hledat?“</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vzdělání</a:t>
            </a:r>
          </a:p>
        </c:rich>
      </c:tx>
      <c:layout>
        <c:manualLayout>
          <c:xMode val="edge"/>
          <c:yMode val="edge"/>
          <c:x val="0.19279572059516401"/>
          <c:y val="1.7107588188475801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Ano</c:v>
                </c:pt>
              </c:strCache>
            </c:strRef>
          </c:tx>
          <c:spPr>
            <a:solidFill>
              <a:srgbClr val="FF9933"/>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Sheet1!$B$2:$B$5</c:f>
              <c:numCache>
                <c:formatCode>General</c:formatCode>
                <c:ptCount val="4"/>
                <c:pt idx="0">
                  <c:v>49</c:v>
                </c:pt>
                <c:pt idx="1">
                  <c:v>52</c:v>
                </c:pt>
                <c:pt idx="2">
                  <c:v>61</c:v>
                </c:pt>
                <c:pt idx="3">
                  <c:v>72</c:v>
                </c:pt>
              </c:numCache>
            </c:numRef>
          </c:val>
        </c:ser>
        <c:ser>
          <c:idx val="1"/>
          <c:order val="1"/>
          <c:tx>
            <c:strRef>
              <c:f>Sheet1!$C$1</c:f>
              <c:strCache>
                <c:ptCount val="1"/>
                <c:pt idx="0">
                  <c:v>Ne</c:v>
                </c:pt>
              </c:strCache>
            </c:strRef>
          </c:tx>
          <c:spPr>
            <a:solidFill>
              <a:srgbClr val="C00000"/>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Sheet1!$C$2:$C$5</c:f>
              <c:numCache>
                <c:formatCode>General</c:formatCode>
                <c:ptCount val="4"/>
                <c:pt idx="0">
                  <c:v>31</c:v>
                </c:pt>
                <c:pt idx="1">
                  <c:v>31</c:v>
                </c:pt>
                <c:pt idx="2">
                  <c:v>24</c:v>
                </c:pt>
                <c:pt idx="3">
                  <c:v>11</c:v>
                </c:pt>
              </c:numCache>
            </c:numRef>
          </c:val>
        </c:ser>
        <c:ser>
          <c:idx val="2"/>
          <c:order val="2"/>
          <c:tx>
            <c:strRef>
              <c:f>Sheet1!$D$1</c:f>
              <c:strCache>
                <c:ptCount val="1"/>
                <c:pt idx="0">
                  <c:v>Nezajímá mne to</c:v>
                </c:pt>
              </c:strCache>
            </c:strRef>
          </c:tx>
          <c:spPr>
            <a:solidFill>
              <a:srgbClr val="CCFFCC"/>
            </a:solidFill>
            <a:ln>
              <a:solidFill>
                <a:srgbClr val="000000"/>
              </a:solidFill>
            </a:ln>
          </c:spPr>
          <c:invertIfNegative val="0"/>
          <c:dLbls>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Sheet1!$D$2:$D$5</c:f>
              <c:numCache>
                <c:formatCode>General</c:formatCode>
                <c:ptCount val="4"/>
                <c:pt idx="0">
                  <c:v>20</c:v>
                </c:pt>
                <c:pt idx="1">
                  <c:v>17</c:v>
                </c:pt>
                <c:pt idx="2">
                  <c:v>15</c:v>
                </c:pt>
                <c:pt idx="3">
                  <c:v>17</c:v>
                </c:pt>
              </c:numCache>
            </c:numRef>
          </c:val>
        </c:ser>
        <c:dLbls>
          <c:showLegendKey val="0"/>
          <c:showVal val="1"/>
          <c:showCatName val="0"/>
          <c:showSerName val="0"/>
          <c:showPercent val="0"/>
          <c:showBubbleSize val="0"/>
        </c:dLbls>
        <c:gapWidth val="150"/>
        <c:shape val="box"/>
        <c:axId val="130560384"/>
        <c:axId val="130561920"/>
        <c:axId val="0"/>
      </c:bar3DChart>
      <c:catAx>
        <c:axId val="130560384"/>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561920"/>
        <c:crosses val="autoZero"/>
        <c:auto val="1"/>
        <c:lblAlgn val="ctr"/>
        <c:lblOffset val="100"/>
        <c:tickLblSkip val="1"/>
        <c:tickMarkSkip val="1"/>
        <c:noMultiLvlLbl val="0"/>
      </c:catAx>
      <c:valAx>
        <c:axId val="130561920"/>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560384"/>
        <c:crosses val="autoZero"/>
        <c:crossBetween val="between"/>
        <c:majorUnit val="20"/>
      </c:valAx>
      <c:spPr>
        <a:noFill/>
        <a:ln w="25415">
          <a:noFill/>
        </a:ln>
      </c:spPr>
    </c:plotArea>
    <c:legend>
      <c:legendPos val="b"/>
      <c:layout>
        <c:manualLayout>
          <c:xMode val="edge"/>
          <c:yMode val="edge"/>
          <c:x val="9.2436974789915902E-2"/>
          <c:y val="0.92575406032482599"/>
          <c:w val="0.89999998267110703"/>
          <c:h val="5.7396229644983199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46757679180887"/>
          <c:y val="0.17153284671532901"/>
          <c:w val="0.69624573378839605"/>
          <c:h val="0.66788321167883302"/>
        </c:manualLayout>
      </c:layout>
      <c:pie3DChart>
        <c:varyColors val="1"/>
        <c:ser>
          <c:idx val="0"/>
          <c:order val="0"/>
          <c:tx>
            <c:strRef>
              <c:f>Sheet1!$B$1</c:f>
              <c:strCache>
                <c:ptCount val="1"/>
              </c:strCache>
            </c:strRef>
          </c:tx>
          <c:spPr>
            <a:solidFill>
              <a:srgbClr val="000080"/>
            </a:solidFill>
            <a:ln w="12697">
              <a:solidFill>
                <a:srgbClr val="000000"/>
              </a:solidFill>
              <a:prstDash val="solid"/>
            </a:ln>
          </c:spPr>
          <c:dPt>
            <c:idx val="0"/>
            <c:bubble3D val="0"/>
            <c:spPr>
              <a:solidFill>
                <a:srgbClr val="CC0099"/>
              </a:solidFill>
              <a:ln w="12697">
                <a:solidFill>
                  <a:srgbClr val="000000"/>
                </a:solidFill>
                <a:prstDash val="solid"/>
              </a:ln>
            </c:spPr>
          </c:dPt>
          <c:dPt>
            <c:idx val="1"/>
            <c:bubble3D val="0"/>
            <c:spPr>
              <a:solidFill>
                <a:srgbClr val="CC99FF"/>
              </a:solidFill>
              <a:ln w="12697">
                <a:solidFill>
                  <a:srgbClr val="000000"/>
                </a:solidFill>
                <a:prstDash val="solid"/>
              </a:ln>
            </c:spPr>
          </c:dPt>
          <c:dPt>
            <c:idx val="2"/>
            <c:bubble3D val="0"/>
            <c:spPr>
              <a:solidFill>
                <a:srgbClr val="33CC33"/>
              </a:solidFill>
              <a:ln w="12697">
                <a:solidFill>
                  <a:srgbClr val="000000"/>
                </a:solidFill>
                <a:prstDash val="solid"/>
              </a:ln>
            </c:spPr>
          </c:dPt>
          <c:dPt>
            <c:idx val="3"/>
            <c:bubble3D val="0"/>
            <c:spPr>
              <a:solidFill>
                <a:srgbClr val="006600"/>
              </a:solidFill>
              <a:ln w="12697">
                <a:solidFill>
                  <a:srgbClr val="000000"/>
                </a:solidFill>
                <a:prstDash val="solid"/>
              </a:ln>
            </c:spPr>
          </c:dPt>
          <c:dLbls>
            <c:dLbl>
              <c:idx val="0"/>
              <c:layout>
                <c:manualLayout>
                  <c:x val="-1.5916876654595999E-2"/>
                  <c:y val="-5.2987323548430401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9.5605688895713803E-2"/>
                  <c:y val="2.6496064928040301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2.5492467114120398E-2"/>
                  <c:y val="-0.107138143264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6.2544146773946097E-2"/>
                  <c:y val="-3.724222940210639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23890784982935201"/>
                  <c:y val="0.131386861313869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95">
                <a:noFill/>
              </a:ln>
            </c:spPr>
            <c:txPr>
              <a:bodyPr/>
              <a:lstStyle/>
              <a:p>
                <a:pPr>
                  <a:defRPr sz="1200"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Sheet1!$A$2:$A$5</c:f>
              <c:strCache>
                <c:ptCount val="4"/>
                <c:pt idx="0">
                  <c:v>Ano, vždy</c:v>
                </c:pt>
                <c:pt idx="1">
                  <c:v>Většinou ano</c:v>
                </c:pt>
                <c:pt idx="2">
                  <c:v>Většinou ne</c:v>
                </c:pt>
                <c:pt idx="3">
                  <c:v>Vůbec ne</c:v>
                </c:pt>
              </c:strCache>
            </c:strRef>
          </c:cat>
          <c:val>
            <c:numRef>
              <c:f>Sheet1!$B$2:$B$5</c:f>
              <c:numCache>
                <c:formatCode>General</c:formatCode>
                <c:ptCount val="4"/>
                <c:pt idx="0">
                  <c:v>18</c:v>
                </c:pt>
                <c:pt idx="1">
                  <c:v>49</c:v>
                </c:pt>
                <c:pt idx="2">
                  <c:v>25</c:v>
                </c:pt>
                <c:pt idx="3">
                  <c:v>8</c:v>
                </c:pt>
              </c:numCache>
            </c:numRef>
          </c:val>
        </c:ser>
        <c:dLbls>
          <c:showLegendKey val="0"/>
          <c:showVal val="0"/>
          <c:showCatName val="1"/>
          <c:showSerName val="0"/>
          <c:showPercent val="1"/>
          <c:showBubbleSize val="0"/>
          <c:showLeaderLines val="0"/>
        </c:dLbls>
      </c:pie3DChart>
      <c:spPr>
        <a:noFill/>
        <a:ln w="25395">
          <a:noFill/>
        </a:ln>
      </c:spPr>
    </c:plotArea>
    <c:plotVisOnly val="1"/>
    <c:dispBlanksAs val="zero"/>
    <c:showDLblsOverMax val="0"/>
  </c:chart>
  <c:spPr>
    <a:noFill/>
    <a:ln>
      <a:noFill/>
    </a:ln>
  </c:spPr>
  <c:txPr>
    <a:bodyPr/>
    <a:lstStyle/>
    <a:p>
      <a:pPr>
        <a:defRPr sz="1100"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4899425041925676"/>
          <c:y val="0.20696390223949279"/>
          <c:w val="0.69624573378839605"/>
          <c:h val="0.66788321167883302"/>
        </c:manualLayout>
      </c:layout>
      <c:pie3DChart>
        <c:varyColors val="1"/>
        <c:ser>
          <c:idx val="0"/>
          <c:order val="0"/>
          <c:tx>
            <c:strRef>
              <c:f>Sheet1!$B$1</c:f>
              <c:strCache>
                <c:ptCount val="1"/>
              </c:strCache>
            </c:strRef>
          </c:tx>
          <c:spPr>
            <a:solidFill>
              <a:srgbClr val="000080"/>
            </a:solidFill>
            <a:ln w="12697">
              <a:solidFill>
                <a:srgbClr val="000000"/>
              </a:solidFill>
              <a:prstDash val="solid"/>
            </a:ln>
          </c:spPr>
          <c:dPt>
            <c:idx val="0"/>
            <c:bubble3D val="0"/>
            <c:spPr>
              <a:solidFill>
                <a:srgbClr val="FF0000"/>
              </a:solidFill>
              <a:ln w="12697">
                <a:solidFill>
                  <a:srgbClr val="000000"/>
                </a:solidFill>
                <a:prstDash val="solid"/>
              </a:ln>
            </c:spPr>
          </c:dPt>
          <c:dPt>
            <c:idx val="1"/>
            <c:bubble3D val="0"/>
            <c:spPr>
              <a:solidFill>
                <a:srgbClr val="FF8080"/>
              </a:solidFill>
              <a:ln w="12697">
                <a:solidFill>
                  <a:srgbClr val="000000"/>
                </a:solidFill>
                <a:prstDash val="solid"/>
              </a:ln>
            </c:spPr>
          </c:dPt>
          <c:dPt>
            <c:idx val="2"/>
            <c:bubble3D val="0"/>
            <c:spPr>
              <a:solidFill>
                <a:srgbClr val="CCFFFF"/>
              </a:solidFill>
              <a:ln w="12697">
                <a:solidFill>
                  <a:srgbClr val="000000"/>
                </a:solidFill>
                <a:prstDash val="solid"/>
              </a:ln>
            </c:spPr>
          </c:dPt>
          <c:dLbls>
            <c:dLbl>
              <c:idx val="0"/>
              <c:layout>
                <c:manualLayout>
                  <c:x val="-9.6430820128837497E-2"/>
                  <c:y val="-0.204903578919461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0.16606548101338717"/>
                  <c:y val="-0.116109985038547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1.41769808616746E-2"/>
                  <c:y val="-6.270158755980159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23890784982935201"/>
                  <c:y val="0.131386861313869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95">
                <a:noFill/>
              </a:ln>
            </c:spPr>
            <c:txPr>
              <a:bodyPr/>
              <a:lstStyle/>
              <a:p>
                <a:pPr>
                  <a:defRPr sz="1200"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Sheet1!$A$2:$A$5</c:f>
              <c:strCache>
                <c:ptCount val="4"/>
                <c:pt idx="0">
                  <c:v>Určitě ano</c:v>
                </c:pt>
                <c:pt idx="1">
                  <c:v>Spíše ano</c:v>
                </c:pt>
                <c:pt idx="2">
                  <c:v>Spíše ne</c:v>
                </c:pt>
                <c:pt idx="3">
                  <c:v>Určitě ne</c:v>
                </c:pt>
              </c:strCache>
            </c:strRef>
          </c:cat>
          <c:val>
            <c:numRef>
              <c:f>Sheet1!$B$2:$B$5</c:f>
              <c:numCache>
                <c:formatCode>General</c:formatCode>
                <c:ptCount val="4"/>
                <c:pt idx="0">
                  <c:v>31</c:v>
                </c:pt>
                <c:pt idx="1">
                  <c:v>51</c:v>
                </c:pt>
                <c:pt idx="2">
                  <c:v>16</c:v>
                </c:pt>
                <c:pt idx="3">
                  <c:v>2</c:v>
                </c:pt>
              </c:numCache>
            </c:numRef>
          </c:val>
        </c:ser>
        <c:dLbls>
          <c:showLegendKey val="0"/>
          <c:showVal val="0"/>
          <c:showCatName val="1"/>
          <c:showSerName val="0"/>
          <c:showPercent val="1"/>
          <c:showBubbleSize val="0"/>
          <c:showLeaderLines val="0"/>
        </c:dLbls>
      </c:pie3DChart>
      <c:spPr>
        <a:noFill/>
        <a:ln w="25395">
          <a:noFill/>
        </a:ln>
      </c:spPr>
    </c:plotArea>
    <c:plotVisOnly val="1"/>
    <c:dispBlanksAs val="zero"/>
    <c:showDLblsOverMax val="0"/>
  </c:chart>
  <c:spPr>
    <a:noFill/>
    <a:ln>
      <a:noFill/>
    </a:ln>
  </c:spPr>
  <c:txPr>
    <a:bodyPr/>
    <a:lstStyle/>
    <a:p>
      <a:pPr>
        <a:defRPr sz="1100"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a:t>
            </a:r>
            <a:r>
              <a:rPr lang="cs-CZ" sz="1202" b="0" i="1" u="none" strike="noStrike" baseline="0"/>
              <a:t>Vyžadujete Vy osobně v současnosti při placení běžných nákupů </a:t>
            </a:r>
            <a:br>
              <a:rPr lang="cs-CZ" sz="1202" b="0" i="1" u="none" strike="noStrike" baseline="0"/>
            </a:br>
            <a:r>
              <a:rPr lang="cs-CZ" sz="1202" b="0" i="1" u="none" strike="noStrike" baseline="0"/>
              <a:t>např. v potravinách, trafice či restauraci účtenku?</a:t>
            </a:r>
            <a:r>
              <a:rPr lang="cs-CZ" sz="1202" b="0" i="1" u="none" strike="noStrike" baseline="0">
                <a:effectLst/>
              </a:rPr>
              <a:t>“</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133374945782225"/>
          <c:y val="1.71008304508661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Vždy+většinou ano</c:v>
                </c:pt>
              </c:strCache>
            </c:strRef>
          </c:tx>
          <c:spPr>
            <a:solidFill>
              <a:srgbClr val="993366"/>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c:v>64</c:v>
                </c:pt>
                <c:pt idx="1">
                  <c:v>56</c:v>
                </c:pt>
                <c:pt idx="2">
                  <c:v>72</c:v>
                </c:pt>
                <c:pt idx="3">
                  <c:v>77</c:v>
                </c:pt>
              </c:numCache>
            </c:numRef>
          </c:val>
        </c:ser>
        <c:ser>
          <c:idx val="1"/>
          <c:order val="1"/>
          <c:tx>
            <c:strRef>
              <c:f>Sheet1!$C$1</c:f>
              <c:strCache>
                <c:ptCount val="1"/>
                <c:pt idx="0">
                  <c:v>Většinou+vůbec ne</c:v>
                </c:pt>
              </c:strCache>
            </c:strRef>
          </c:tx>
          <c:spPr>
            <a:solidFill>
              <a:srgbClr val="00FF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36</c:v>
                </c:pt>
                <c:pt idx="1">
                  <c:v>44</c:v>
                </c:pt>
                <c:pt idx="2">
                  <c:v>28</c:v>
                </c:pt>
                <c:pt idx="3">
                  <c:v>23</c:v>
                </c:pt>
              </c:numCache>
            </c:numRef>
          </c:val>
        </c:ser>
        <c:dLbls>
          <c:showLegendKey val="0"/>
          <c:showVal val="1"/>
          <c:showCatName val="0"/>
          <c:showSerName val="0"/>
          <c:showPercent val="0"/>
          <c:showBubbleSize val="0"/>
        </c:dLbls>
        <c:gapWidth val="150"/>
        <c:shape val="box"/>
        <c:axId val="130027520"/>
        <c:axId val="130029056"/>
        <c:axId val="0"/>
      </c:bar3DChart>
      <c:catAx>
        <c:axId val="13002752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029056"/>
        <c:crosses val="autoZero"/>
        <c:auto val="1"/>
        <c:lblAlgn val="ctr"/>
        <c:lblOffset val="100"/>
        <c:tickLblSkip val="1"/>
        <c:tickMarkSkip val="1"/>
        <c:noMultiLvlLbl val="0"/>
      </c:catAx>
      <c:valAx>
        <c:axId val="13002905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027520"/>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a:t>
            </a:r>
            <a:r>
              <a:rPr lang="cs-CZ" sz="1202" b="0" i="1" u="none" strike="noStrike" baseline="0"/>
              <a:t>Vyžadujete Vy osobně v současnosti při placení běžných nákupů </a:t>
            </a:r>
            <a:br>
              <a:rPr lang="cs-CZ" sz="1202" b="0" i="1" u="none" strike="noStrike" baseline="0"/>
            </a:br>
            <a:r>
              <a:rPr lang="cs-CZ" sz="1202" b="0" i="1" u="none" strike="noStrike" baseline="0"/>
              <a:t>např. v potravinách, trafice či restauraci účtenku?</a:t>
            </a:r>
            <a:r>
              <a:rPr lang="cs-CZ" sz="1202" b="0" i="1" u="none" strike="noStrike" baseline="0">
                <a:effectLst/>
              </a:rPr>
              <a:t>“</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pohlaví</a:t>
            </a:r>
          </a:p>
        </c:rich>
      </c:tx>
      <c:layout>
        <c:manualLayout>
          <c:xMode val="edge"/>
          <c:yMode val="edge"/>
          <c:x val="0.133374945782226"/>
          <c:y val="1.7100830450866199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704"/>
        </c:manualLayout>
      </c:layout>
      <c:bar3DChart>
        <c:barDir val="col"/>
        <c:grouping val="stacked"/>
        <c:varyColors val="0"/>
        <c:ser>
          <c:idx val="0"/>
          <c:order val="0"/>
          <c:tx>
            <c:strRef>
              <c:f>Sheet1!$B$1</c:f>
              <c:strCache>
                <c:ptCount val="1"/>
                <c:pt idx="0">
                  <c:v>Vždy+většinou ano</c:v>
                </c:pt>
              </c:strCache>
            </c:strRef>
          </c:tx>
          <c:spPr>
            <a:solidFill>
              <a:srgbClr val="993366"/>
            </a:solidFill>
            <a:ln w="12708">
              <a:solidFill>
                <a:srgbClr val="000000"/>
              </a:solidFill>
              <a:prstDash val="solid"/>
            </a:ln>
          </c:spPr>
          <c:invertIfNegative val="0"/>
          <c:dLbls>
            <c:dLbl>
              <c:idx val="0"/>
              <c:layout>
                <c:manualLayout>
                  <c:x val="1.3801015968544501E-3"/>
                  <c:y val="-7.4234031736233599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30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Sheet1!$B$2:$B$3</c:f>
              <c:numCache>
                <c:formatCode>General</c:formatCode>
                <c:ptCount val="2"/>
                <c:pt idx="0">
                  <c:v>64</c:v>
                </c:pt>
                <c:pt idx="1">
                  <c:v>71</c:v>
                </c:pt>
              </c:numCache>
            </c:numRef>
          </c:val>
        </c:ser>
        <c:ser>
          <c:idx val="1"/>
          <c:order val="1"/>
          <c:tx>
            <c:strRef>
              <c:f>Sheet1!$C$1</c:f>
              <c:strCache>
                <c:ptCount val="1"/>
                <c:pt idx="0">
                  <c:v>Většinou+vůbec ne</c:v>
                </c:pt>
              </c:strCache>
            </c:strRef>
          </c:tx>
          <c:spPr>
            <a:solidFill>
              <a:srgbClr val="00FF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2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207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Sheet1!$C$2:$C$3</c:f>
              <c:numCache>
                <c:formatCode>General</c:formatCode>
                <c:ptCount val="2"/>
                <c:pt idx="0">
                  <c:v>36</c:v>
                </c:pt>
                <c:pt idx="1">
                  <c:v>29</c:v>
                </c:pt>
              </c:numCache>
            </c:numRef>
          </c:val>
        </c:ser>
        <c:dLbls>
          <c:showLegendKey val="0"/>
          <c:showVal val="1"/>
          <c:showCatName val="0"/>
          <c:showSerName val="0"/>
          <c:showPercent val="0"/>
          <c:showBubbleSize val="0"/>
        </c:dLbls>
        <c:gapWidth val="150"/>
        <c:shape val="box"/>
        <c:axId val="130118016"/>
        <c:axId val="130119552"/>
        <c:axId val="0"/>
      </c:bar3DChart>
      <c:catAx>
        <c:axId val="13011801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119552"/>
        <c:crosses val="autoZero"/>
        <c:auto val="1"/>
        <c:lblAlgn val="ctr"/>
        <c:lblOffset val="100"/>
        <c:tickLblSkip val="1"/>
        <c:tickMarkSkip val="1"/>
        <c:noMultiLvlLbl val="0"/>
      </c:catAx>
      <c:valAx>
        <c:axId val="13011955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118016"/>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a:t>
            </a:r>
            <a:r>
              <a:rPr lang="cs-CZ" sz="1202" b="0" i="1" u="none" strike="noStrike" baseline="0"/>
              <a:t>Vyžadujete Vy osobně v současnosti při placení běžných nákupů </a:t>
            </a:r>
            <a:br>
              <a:rPr lang="cs-CZ" sz="1202" b="0" i="1" u="none" strike="noStrike" baseline="0"/>
            </a:br>
            <a:r>
              <a:rPr lang="cs-CZ" sz="1202" b="0" i="1" u="none" strike="noStrike" baseline="0"/>
              <a:t>např. v potravinách, trafice či restauraci účtenku?</a:t>
            </a:r>
            <a:r>
              <a:rPr lang="cs-CZ" sz="1202" b="0" i="1" u="none" strike="noStrike" baseline="0">
                <a:effectLst/>
              </a:rPr>
              <a:t>“</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vzdělání</a:t>
            </a:r>
          </a:p>
        </c:rich>
      </c:tx>
      <c:layout>
        <c:manualLayout>
          <c:xMode val="edge"/>
          <c:yMode val="edge"/>
          <c:x val="0.133374945782226"/>
          <c:y val="1.7100830450866199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704"/>
        </c:manualLayout>
      </c:layout>
      <c:bar3DChart>
        <c:barDir val="col"/>
        <c:grouping val="stacked"/>
        <c:varyColors val="0"/>
        <c:ser>
          <c:idx val="0"/>
          <c:order val="0"/>
          <c:tx>
            <c:strRef>
              <c:f>Sheet1!$B$1</c:f>
              <c:strCache>
                <c:ptCount val="1"/>
                <c:pt idx="0">
                  <c:v>Vždy+většinou ano</c:v>
                </c:pt>
              </c:strCache>
            </c:strRef>
          </c:tx>
          <c:spPr>
            <a:solidFill>
              <a:srgbClr val="993366"/>
            </a:solidFill>
            <a:ln w="12708">
              <a:solidFill>
                <a:srgbClr val="000000"/>
              </a:solidFill>
              <a:prstDash val="solid"/>
            </a:ln>
          </c:spPr>
          <c:invertIfNegative val="0"/>
          <c:dLbls>
            <c:dLbl>
              <c:idx val="0"/>
              <c:layout>
                <c:manualLayout>
                  <c:x val="1.3801015968544501E-3"/>
                  <c:y val="-7.4234031736233599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30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Sheet1!$B$2:$B$5</c:f>
              <c:numCache>
                <c:formatCode>General</c:formatCode>
                <c:ptCount val="4"/>
                <c:pt idx="0">
                  <c:v>77</c:v>
                </c:pt>
                <c:pt idx="1">
                  <c:v>66</c:v>
                </c:pt>
                <c:pt idx="2">
                  <c:v>69</c:v>
                </c:pt>
                <c:pt idx="3">
                  <c:v>61</c:v>
                </c:pt>
              </c:numCache>
            </c:numRef>
          </c:val>
        </c:ser>
        <c:ser>
          <c:idx val="1"/>
          <c:order val="1"/>
          <c:tx>
            <c:strRef>
              <c:f>Sheet1!$C$1</c:f>
              <c:strCache>
                <c:ptCount val="1"/>
                <c:pt idx="0">
                  <c:v>Většinou+vůbec ne</c:v>
                </c:pt>
              </c:strCache>
            </c:strRef>
          </c:tx>
          <c:spPr>
            <a:solidFill>
              <a:srgbClr val="00FF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2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207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Sheet1!$C$2:$C$5</c:f>
              <c:numCache>
                <c:formatCode>General</c:formatCode>
                <c:ptCount val="4"/>
                <c:pt idx="0">
                  <c:v>23</c:v>
                </c:pt>
                <c:pt idx="1">
                  <c:v>34</c:v>
                </c:pt>
                <c:pt idx="2">
                  <c:v>31</c:v>
                </c:pt>
                <c:pt idx="3">
                  <c:v>39</c:v>
                </c:pt>
              </c:numCache>
            </c:numRef>
          </c:val>
        </c:ser>
        <c:dLbls>
          <c:showLegendKey val="0"/>
          <c:showVal val="1"/>
          <c:showCatName val="0"/>
          <c:showSerName val="0"/>
          <c:showPercent val="0"/>
          <c:showBubbleSize val="0"/>
        </c:dLbls>
        <c:gapWidth val="150"/>
        <c:shape val="box"/>
        <c:axId val="130195840"/>
        <c:axId val="130197376"/>
        <c:axId val="0"/>
      </c:bar3DChart>
      <c:catAx>
        <c:axId val="13019584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197376"/>
        <c:crosses val="autoZero"/>
        <c:auto val="1"/>
        <c:lblAlgn val="ctr"/>
        <c:lblOffset val="100"/>
        <c:tickLblSkip val="1"/>
        <c:tickMarkSkip val="1"/>
        <c:noMultiLvlLbl val="0"/>
      </c:catAx>
      <c:valAx>
        <c:axId val="13019737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195840"/>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„Vyžadujete Vy osobně v současnosti při placení běžných nákupů </a:t>
            </a:r>
            <a:br>
              <a:rPr lang="cs-CZ" sz="1202" b="0" i="1" u="none" strike="noStrike" baseline="0">
                <a:effectLst/>
              </a:rPr>
            </a:br>
            <a:r>
              <a:rPr lang="cs-CZ" sz="1202" b="0" i="1" u="none" strike="noStrike" baseline="0">
                <a:effectLst/>
              </a:rPr>
              <a:t>např. v potravinách, trafice či restauraci účtenku?“</a:t>
            </a:r>
          </a:p>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baseline="0"/>
              <a:t>- podle zkušeností s hotovostními tržbami z podnikání</a:t>
            </a:r>
            <a:endParaRPr lang="cs-CZ" sz="1200" b="0" i="0" u="none" strike="noStrike" baseline="0">
              <a:solidFill>
                <a:srgbClr val="000000"/>
              </a:solidFill>
              <a:latin typeface="Times New Roman" panose="02020603050405020304" pitchFamily="18" charset="0"/>
              <a:cs typeface="Times New Roman" panose="02020603050405020304" pitchFamily="18" charset="0"/>
            </a:endParaRPr>
          </a:p>
        </c:rich>
      </c:tx>
      <c:layout>
        <c:manualLayout>
          <c:xMode val="edge"/>
          <c:yMode val="edge"/>
          <c:x val="0.17078819950893401"/>
          <c:y val="1.29200944365843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604"/>
        </c:manualLayout>
      </c:layout>
      <c:bar3DChart>
        <c:barDir val="col"/>
        <c:grouping val="stacked"/>
        <c:varyColors val="0"/>
        <c:ser>
          <c:idx val="0"/>
          <c:order val="0"/>
          <c:tx>
            <c:strRef>
              <c:f>Sheet1!$B$1</c:f>
              <c:strCache>
                <c:ptCount val="1"/>
                <c:pt idx="0">
                  <c:v>Vždy+většinou ano</c:v>
                </c:pt>
              </c:strCache>
            </c:strRef>
          </c:tx>
          <c:spPr>
            <a:solidFill>
              <a:srgbClr val="993366"/>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Sheet1!$B$2:$B$3</c:f>
              <c:numCache>
                <c:formatCode>General</c:formatCode>
                <c:ptCount val="2"/>
                <c:pt idx="0">
                  <c:v>58</c:v>
                </c:pt>
                <c:pt idx="1">
                  <c:v>70</c:v>
                </c:pt>
              </c:numCache>
            </c:numRef>
          </c:val>
        </c:ser>
        <c:ser>
          <c:idx val="1"/>
          <c:order val="1"/>
          <c:tx>
            <c:strRef>
              <c:f>Sheet1!$C$1</c:f>
              <c:strCache>
                <c:ptCount val="1"/>
                <c:pt idx="0">
                  <c:v>Většinou+vůbec ne</c:v>
                </c:pt>
              </c:strCache>
            </c:strRef>
          </c:tx>
          <c:spPr>
            <a:solidFill>
              <a:srgbClr val="00FF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Sheet1!$C$2:$C$3</c:f>
              <c:numCache>
                <c:formatCode>General</c:formatCode>
                <c:ptCount val="2"/>
                <c:pt idx="0">
                  <c:v>42</c:v>
                </c:pt>
                <c:pt idx="1">
                  <c:v>30</c:v>
                </c:pt>
              </c:numCache>
            </c:numRef>
          </c:val>
        </c:ser>
        <c:dLbls>
          <c:showLegendKey val="0"/>
          <c:showVal val="1"/>
          <c:showCatName val="0"/>
          <c:showSerName val="0"/>
          <c:showPercent val="0"/>
          <c:showBubbleSize val="0"/>
        </c:dLbls>
        <c:gapWidth val="150"/>
        <c:shape val="box"/>
        <c:axId val="130720128"/>
        <c:axId val="130721664"/>
        <c:axId val="0"/>
      </c:bar3DChart>
      <c:catAx>
        <c:axId val="130720128"/>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721664"/>
        <c:crosses val="autoZero"/>
        <c:auto val="1"/>
        <c:lblAlgn val="ctr"/>
        <c:lblOffset val="100"/>
        <c:tickLblSkip val="1"/>
        <c:tickMarkSkip val="1"/>
        <c:noMultiLvlLbl val="0"/>
      </c:catAx>
      <c:valAx>
        <c:axId val="130721664"/>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720128"/>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4.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„Když zvážíte všechny okolnosti pro a proti elektronické evidence tržeb, </a:t>
            </a:r>
            <a:br>
              <a:rPr lang="cs-CZ" sz="1202" b="0" i="1" u="none" strike="noStrike" baseline="0">
                <a:effectLst/>
              </a:rPr>
            </a:br>
            <a:r>
              <a:rPr lang="cs-CZ" sz="1202" b="0" i="1" u="none" strike="noStrike" baseline="0">
                <a:effectLst/>
              </a:rPr>
              <a:t>je její zavedení podle Vás:“</a:t>
            </a:r>
          </a:p>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baseline="0"/>
              <a:t>- podle toho, zda vyžadují při placení běžných nákupů účtenku</a:t>
            </a:r>
            <a:endParaRPr lang="cs-CZ" sz="1200" b="0" i="0" u="none" strike="noStrike" baseline="0">
              <a:solidFill>
                <a:srgbClr val="000000"/>
              </a:solidFill>
              <a:latin typeface="Times New Roman" panose="02020603050405020304" pitchFamily="18" charset="0"/>
              <a:cs typeface="Times New Roman" panose="02020603050405020304" pitchFamily="18" charset="0"/>
            </a:endParaRPr>
          </a:p>
        </c:rich>
      </c:tx>
      <c:layout>
        <c:manualLayout>
          <c:xMode val="edge"/>
          <c:yMode val="edge"/>
          <c:x val="0.135575888508674"/>
          <c:y val="1.99681758988188E-3"/>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0628667891052801"/>
        </c:manualLayout>
      </c:layout>
      <c:bar3DChart>
        <c:barDir val="col"/>
        <c:grouping val="stacked"/>
        <c:varyColors val="0"/>
        <c:ser>
          <c:idx val="0"/>
          <c:order val="0"/>
          <c:tx>
            <c:strRef>
              <c:f>Sheet1!$B$1</c:f>
              <c:strCache>
                <c:ptCount val="1"/>
                <c:pt idx="0">
                  <c:v>Pozitivní opatření</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Vyžadují vždy+většinou</c:v>
                </c:pt>
                <c:pt idx="1">
                  <c:v>Nevyžadují většinou+vůbec</c:v>
                </c:pt>
              </c:strCache>
            </c:strRef>
          </c:cat>
          <c:val>
            <c:numRef>
              <c:f>Sheet1!$B$2:$B$3</c:f>
              <c:numCache>
                <c:formatCode>General</c:formatCode>
                <c:ptCount val="2"/>
                <c:pt idx="0">
                  <c:v>74</c:v>
                </c:pt>
                <c:pt idx="1">
                  <c:v>40</c:v>
                </c:pt>
              </c:numCache>
            </c:numRef>
          </c:val>
        </c:ser>
        <c:ser>
          <c:idx val="1"/>
          <c:order val="1"/>
          <c:tx>
            <c:strRef>
              <c:f>Sheet1!$C$1</c:f>
              <c:strCache>
                <c:ptCount val="1"/>
                <c:pt idx="0">
                  <c:v>Negativní opatření</c:v>
                </c:pt>
              </c:strCache>
            </c:strRef>
          </c:tx>
          <c:spPr>
            <a:solidFill>
              <a:srgbClr val="66FF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Vyžadují vždy+většinou</c:v>
                </c:pt>
                <c:pt idx="1">
                  <c:v>Nevyžadují většinou+vůbec</c:v>
                </c:pt>
              </c:strCache>
            </c:strRef>
          </c:cat>
          <c:val>
            <c:numRef>
              <c:f>Sheet1!$C$2:$C$3</c:f>
              <c:numCache>
                <c:formatCode>General</c:formatCode>
                <c:ptCount val="2"/>
                <c:pt idx="0">
                  <c:v>26</c:v>
                </c:pt>
                <c:pt idx="1">
                  <c:v>60</c:v>
                </c:pt>
              </c:numCache>
            </c:numRef>
          </c:val>
        </c:ser>
        <c:dLbls>
          <c:showLegendKey val="0"/>
          <c:showVal val="1"/>
          <c:showCatName val="0"/>
          <c:showSerName val="0"/>
          <c:showPercent val="0"/>
          <c:showBubbleSize val="0"/>
        </c:dLbls>
        <c:gapWidth val="150"/>
        <c:shape val="box"/>
        <c:axId val="130786048"/>
        <c:axId val="130787584"/>
        <c:axId val="0"/>
      </c:bar3DChart>
      <c:catAx>
        <c:axId val="130786048"/>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787584"/>
        <c:crosses val="autoZero"/>
        <c:auto val="1"/>
        <c:lblAlgn val="ctr"/>
        <c:lblOffset val="100"/>
        <c:tickLblSkip val="1"/>
        <c:tickMarkSkip val="1"/>
        <c:noMultiLvlLbl val="0"/>
      </c:catAx>
      <c:valAx>
        <c:axId val="130787584"/>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30786048"/>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5.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46757679180887"/>
          <c:y val="0.17153284671532901"/>
          <c:w val="0.69624573378839605"/>
          <c:h val="0.66788321167883302"/>
        </c:manualLayout>
      </c:layout>
      <c:pie3DChart>
        <c:varyColors val="1"/>
        <c:ser>
          <c:idx val="0"/>
          <c:order val="0"/>
          <c:tx>
            <c:strRef>
              <c:f>Sheet1!$B$1</c:f>
              <c:strCache>
                <c:ptCount val="1"/>
              </c:strCache>
            </c:strRef>
          </c:tx>
          <c:spPr>
            <a:solidFill>
              <a:srgbClr val="000080"/>
            </a:solidFill>
            <a:ln w="12697">
              <a:solidFill>
                <a:srgbClr val="000000"/>
              </a:solidFill>
              <a:prstDash val="solid"/>
            </a:ln>
          </c:spPr>
          <c:dPt>
            <c:idx val="0"/>
            <c:bubble3D val="0"/>
            <c:spPr>
              <a:solidFill>
                <a:srgbClr val="CC0099"/>
              </a:solidFill>
              <a:ln w="12697">
                <a:solidFill>
                  <a:srgbClr val="000000"/>
                </a:solidFill>
                <a:prstDash val="solid"/>
              </a:ln>
            </c:spPr>
          </c:dPt>
          <c:dPt>
            <c:idx val="1"/>
            <c:bubble3D val="0"/>
            <c:spPr>
              <a:solidFill>
                <a:srgbClr val="CC99FF"/>
              </a:solidFill>
              <a:ln w="12697">
                <a:solidFill>
                  <a:srgbClr val="000000"/>
                </a:solidFill>
                <a:prstDash val="solid"/>
              </a:ln>
            </c:spPr>
          </c:dPt>
          <c:dPt>
            <c:idx val="2"/>
            <c:bubble3D val="0"/>
            <c:spPr>
              <a:solidFill>
                <a:srgbClr val="33CC33"/>
              </a:solidFill>
              <a:ln w="12697">
                <a:solidFill>
                  <a:srgbClr val="000000"/>
                </a:solidFill>
                <a:prstDash val="solid"/>
              </a:ln>
            </c:spPr>
          </c:dPt>
          <c:dPt>
            <c:idx val="3"/>
            <c:bubble3D val="0"/>
            <c:spPr>
              <a:solidFill>
                <a:srgbClr val="006600"/>
              </a:solidFill>
              <a:ln w="12697">
                <a:solidFill>
                  <a:srgbClr val="000000"/>
                </a:solidFill>
                <a:prstDash val="solid"/>
              </a:ln>
            </c:spPr>
          </c:dPt>
          <c:dLbls>
            <c:dLbl>
              <c:idx val="0"/>
              <c:layout>
                <c:manualLayout>
                  <c:x val="-9.6430906677660105E-2"/>
                  <c:y val="-0.13893889297424999"/>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0.17724805982827799"/>
                  <c:y val="-1.5762483860014699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7.4674636845181502E-3"/>
                  <c:y val="-9.3051964689166905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6.3149236039581599E-2"/>
                  <c:y val="-3.724222940210639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23890784982935201"/>
                  <c:y val="0.131386861313869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95">
                <a:noFill/>
              </a:ln>
            </c:spPr>
            <c:txPr>
              <a:bodyPr/>
              <a:lstStyle/>
              <a:p>
                <a:pPr>
                  <a:defRPr sz="1200"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Sheet1!$A$2:$A$5</c:f>
              <c:strCache>
                <c:ptCount val="4"/>
                <c:pt idx="0">
                  <c:v>Určitě ano</c:v>
                </c:pt>
                <c:pt idx="1">
                  <c:v>Spíše ano</c:v>
                </c:pt>
                <c:pt idx="2">
                  <c:v>Spíše ne</c:v>
                </c:pt>
                <c:pt idx="3">
                  <c:v>Určitě ne</c:v>
                </c:pt>
              </c:strCache>
            </c:strRef>
          </c:cat>
          <c:val>
            <c:numRef>
              <c:f>Sheet1!$B$2:$B$5</c:f>
              <c:numCache>
                <c:formatCode>General</c:formatCode>
                <c:ptCount val="4"/>
                <c:pt idx="0">
                  <c:v>30</c:v>
                </c:pt>
                <c:pt idx="1">
                  <c:v>40</c:v>
                </c:pt>
                <c:pt idx="2">
                  <c:v>22</c:v>
                </c:pt>
                <c:pt idx="3">
                  <c:v>8</c:v>
                </c:pt>
              </c:numCache>
            </c:numRef>
          </c:val>
        </c:ser>
        <c:dLbls>
          <c:showLegendKey val="0"/>
          <c:showVal val="0"/>
          <c:showCatName val="1"/>
          <c:showSerName val="0"/>
          <c:showPercent val="1"/>
          <c:showBubbleSize val="0"/>
          <c:showLeaderLines val="0"/>
        </c:dLbls>
      </c:pie3DChart>
      <c:spPr>
        <a:noFill/>
        <a:ln w="25395">
          <a:noFill/>
        </a:ln>
      </c:spPr>
    </c:plotArea>
    <c:plotVisOnly val="1"/>
    <c:dispBlanksAs val="zero"/>
    <c:showDLblsOverMax val="0"/>
  </c:chart>
  <c:spPr>
    <a:noFill/>
    <a:ln>
      <a:noFill/>
    </a:ln>
  </c:spPr>
  <c:txPr>
    <a:bodyPr/>
    <a:lstStyle/>
    <a:p>
      <a:pPr>
        <a:defRPr sz="1100"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6.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a:t>
            </a:r>
            <a:r>
              <a:rPr lang="cs-CZ" sz="1202" b="0" i="1" u="none" strike="noStrike" baseline="0"/>
              <a:t>A budete Vy osobně požadovat při placení běžných nákupů </a:t>
            </a:r>
            <a:br>
              <a:rPr lang="cs-CZ" sz="1202" b="0" i="1" u="none" strike="noStrike" baseline="0"/>
            </a:br>
            <a:r>
              <a:rPr lang="cs-CZ" sz="1202" b="0" i="1" u="none" strike="noStrike" baseline="0"/>
              <a:t>např. v potravinách, trafice či restauraci účtenku po zavedení </a:t>
            </a:r>
            <a:br>
              <a:rPr lang="cs-CZ" sz="1202" b="0" i="1" u="none" strike="noStrike" baseline="0"/>
            </a:br>
            <a:r>
              <a:rPr lang="cs-CZ" sz="1202" b="0" i="1" u="none" strike="noStrike" baseline="0"/>
              <a:t>elektronické evidence tržeb?</a:t>
            </a:r>
            <a:r>
              <a:rPr lang="cs-CZ" sz="1202" b="0" i="1" u="none" strike="noStrike" baseline="0">
                <a:effectLst/>
              </a:rPr>
              <a:t>“</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věku</a:t>
            </a:r>
          </a:p>
        </c:rich>
      </c:tx>
      <c:layout>
        <c:manualLayout>
          <c:xMode val="edge"/>
          <c:yMode val="edge"/>
          <c:x val="0.19279572059516401"/>
          <c:y val="1.2088003669947999E-3"/>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4269141531322704"/>
        </c:manualLayout>
      </c:layout>
      <c:bar3DChart>
        <c:barDir val="col"/>
        <c:grouping val="stacked"/>
        <c:varyColors val="0"/>
        <c:ser>
          <c:idx val="0"/>
          <c:order val="0"/>
          <c:tx>
            <c:strRef>
              <c:f>Sheet1!$B$1</c:f>
              <c:strCache>
                <c:ptCount val="1"/>
                <c:pt idx="0">
                  <c:v>Určitě+spíše ano</c:v>
                </c:pt>
              </c:strCache>
            </c:strRef>
          </c:tx>
          <c:spPr>
            <a:solidFill>
              <a:srgbClr val="993366"/>
            </a:solidFill>
            <a:ln w="12708">
              <a:solidFill>
                <a:srgbClr val="000000"/>
              </a:solidFill>
              <a:prstDash val="solid"/>
            </a:ln>
          </c:spPr>
          <c:invertIfNegative val="0"/>
          <c:dLbls>
            <c:dLbl>
              <c:idx val="0"/>
              <c:layout>
                <c:manualLayout>
                  <c:x val="1.3801015968544501E-3"/>
                  <c:y val="-7.4234031736233599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30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Sheet1!$B$2:$B$5</c:f>
              <c:numCache>
                <c:formatCode>General</c:formatCode>
                <c:ptCount val="4"/>
                <c:pt idx="0">
                  <c:v>63</c:v>
                </c:pt>
                <c:pt idx="1">
                  <c:v>61</c:v>
                </c:pt>
                <c:pt idx="2">
                  <c:v>74</c:v>
                </c:pt>
                <c:pt idx="3">
                  <c:v>79</c:v>
                </c:pt>
              </c:numCache>
            </c:numRef>
          </c:val>
        </c:ser>
        <c:ser>
          <c:idx val="1"/>
          <c:order val="1"/>
          <c:tx>
            <c:strRef>
              <c:f>Sheet1!$C$1</c:f>
              <c:strCache>
                <c:ptCount val="1"/>
                <c:pt idx="0">
                  <c:v>Určitě+spíše ne</c:v>
                </c:pt>
              </c:strCache>
            </c:strRef>
          </c:tx>
          <c:spPr>
            <a:solidFill>
              <a:srgbClr val="00FF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2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207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18-29 let</c:v>
                </c:pt>
                <c:pt idx="1">
                  <c:v>30-44 let</c:v>
                </c:pt>
                <c:pt idx="2">
                  <c:v>45-59 let</c:v>
                </c:pt>
                <c:pt idx="3">
                  <c:v>60 a více let</c:v>
                </c:pt>
              </c:strCache>
            </c:strRef>
          </c:cat>
          <c:val>
            <c:numRef>
              <c:f>Sheet1!$C$2:$C$5</c:f>
              <c:numCache>
                <c:formatCode>General</c:formatCode>
                <c:ptCount val="4"/>
                <c:pt idx="0">
                  <c:v>37</c:v>
                </c:pt>
                <c:pt idx="1">
                  <c:v>39</c:v>
                </c:pt>
                <c:pt idx="2">
                  <c:v>26</c:v>
                </c:pt>
                <c:pt idx="3">
                  <c:v>21</c:v>
                </c:pt>
              </c:numCache>
            </c:numRef>
          </c:val>
        </c:ser>
        <c:dLbls>
          <c:showLegendKey val="0"/>
          <c:showVal val="1"/>
          <c:showCatName val="0"/>
          <c:showSerName val="0"/>
          <c:showPercent val="0"/>
          <c:showBubbleSize val="0"/>
        </c:dLbls>
        <c:gapWidth val="150"/>
        <c:shape val="box"/>
        <c:axId val="156291456"/>
        <c:axId val="156292992"/>
        <c:axId val="0"/>
      </c:bar3DChart>
      <c:catAx>
        <c:axId val="15629145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6292992"/>
        <c:crosses val="autoZero"/>
        <c:auto val="1"/>
        <c:lblAlgn val="ctr"/>
        <c:lblOffset val="100"/>
        <c:tickLblSkip val="1"/>
        <c:tickMarkSkip val="1"/>
        <c:noMultiLvlLbl val="0"/>
      </c:catAx>
      <c:valAx>
        <c:axId val="15629299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6291456"/>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7.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a:t>
            </a:r>
            <a:r>
              <a:rPr lang="cs-CZ" sz="1202" b="0" i="1" u="none" strike="noStrike" baseline="0"/>
              <a:t>A budete Vy osobně požadovat při placení běžných nákupů </a:t>
            </a:r>
            <a:br>
              <a:rPr lang="cs-CZ" sz="1202" b="0" i="1" u="none" strike="noStrike" baseline="0"/>
            </a:br>
            <a:r>
              <a:rPr lang="cs-CZ" sz="1202" b="0" i="1" u="none" strike="noStrike" baseline="0"/>
              <a:t>např. v potravinách, trafice či restauraci účtenku po zavedení </a:t>
            </a:r>
            <a:br>
              <a:rPr lang="cs-CZ" sz="1202" b="0" i="1" u="none" strike="noStrike" baseline="0"/>
            </a:br>
            <a:r>
              <a:rPr lang="cs-CZ" sz="1202" b="0" i="1" u="none" strike="noStrike" baseline="0"/>
              <a:t>elektronické evidence tržeb?</a:t>
            </a:r>
            <a:r>
              <a:rPr lang="cs-CZ" sz="1202" b="0" i="1" u="none" strike="noStrike" baseline="0">
                <a:effectLst/>
              </a:rPr>
              <a:t>“</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pohlaví</a:t>
            </a:r>
          </a:p>
        </c:rich>
      </c:tx>
      <c:layout>
        <c:manualLayout>
          <c:xMode val="edge"/>
          <c:yMode val="edge"/>
          <c:x val="0.19279572059516401"/>
          <c:y val="1.2088003669947999E-3"/>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6"/>
          <c:w val="0.86890756302520999"/>
          <c:h val="0.64269141531322704"/>
        </c:manualLayout>
      </c:layout>
      <c:bar3DChart>
        <c:barDir val="col"/>
        <c:grouping val="stacked"/>
        <c:varyColors val="0"/>
        <c:ser>
          <c:idx val="0"/>
          <c:order val="0"/>
          <c:tx>
            <c:strRef>
              <c:f>Sheet1!$B$1</c:f>
              <c:strCache>
                <c:ptCount val="1"/>
                <c:pt idx="0">
                  <c:v>Určitě+spíše ano</c:v>
                </c:pt>
              </c:strCache>
            </c:strRef>
          </c:tx>
          <c:spPr>
            <a:solidFill>
              <a:srgbClr val="993366"/>
            </a:solidFill>
            <a:ln w="12708">
              <a:solidFill>
                <a:srgbClr val="000000"/>
              </a:solidFill>
              <a:prstDash val="solid"/>
            </a:ln>
          </c:spPr>
          <c:invertIfNegative val="0"/>
          <c:dLbls>
            <c:dLbl>
              <c:idx val="0"/>
              <c:layout>
                <c:manualLayout>
                  <c:x val="1.3801015968544501E-3"/>
                  <c:y val="-7.4234031736233599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3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8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30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Sheet1!$B$2:$B$3</c:f>
              <c:numCache>
                <c:formatCode>General</c:formatCode>
                <c:ptCount val="2"/>
                <c:pt idx="0">
                  <c:v>67</c:v>
                </c:pt>
                <c:pt idx="1">
                  <c:v>73</c:v>
                </c:pt>
              </c:numCache>
            </c:numRef>
          </c:val>
        </c:ser>
        <c:ser>
          <c:idx val="1"/>
          <c:order val="1"/>
          <c:tx>
            <c:strRef>
              <c:f>Sheet1!$C$1</c:f>
              <c:strCache>
                <c:ptCount val="1"/>
                <c:pt idx="0">
                  <c:v>Určitě+spíše ne</c:v>
                </c:pt>
              </c:strCache>
            </c:strRef>
          </c:tx>
          <c:spPr>
            <a:solidFill>
              <a:srgbClr val="00FF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2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207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8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Sheet1!$C$2:$C$3</c:f>
              <c:numCache>
                <c:formatCode>General</c:formatCode>
                <c:ptCount val="2"/>
                <c:pt idx="0">
                  <c:v>33</c:v>
                </c:pt>
                <c:pt idx="1">
                  <c:v>27</c:v>
                </c:pt>
              </c:numCache>
            </c:numRef>
          </c:val>
        </c:ser>
        <c:dLbls>
          <c:showLegendKey val="0"/>
          <c:showVal val="1"/>
          <c:showCatName val="0"/>
          <c:showSerName val="0"/>
          <c:showPercent val="0"/>
          <c:showBubbleSize val="0"/>
        </c:dLbls>
        <c:gapWidth val="150"/>
        <c:shape val="box"/>
        <c:axId val="157659904"/>
        <c:axId val="157661440"/>
        <c:axId val="0"/>
      </c:bar3DChart>
      <c:catAx>
        <c:axId val="157659904"/>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7661440"/>
        <c:crosses val="autoZero"/>
        <c:auto val="1"/>
        <c:lblAlgn val="ctr"/>
        <c:lblOffset val="100"/>
        <c:tickLblSkip val="1"/>
        <c:tickMarkSkip val="1"/>
        <c:noMultiLvlLbl val="0"/>
      </c:catAx>
      <c:valAx>
        <c:axId val="157661440"/>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7659904"/>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8.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„A budete Vy osobně požadovat při placení běžných nákupů </a:t>
            </a:r>
            <a:br>
              <a:rPr lang="cs-CZ" sz="1202" b="0" i="1" u="none" strike="noStrike" baseline="0">
                <a:effectLst/>
              </a:rPr>
            </a:br>
            <a:r>
              <a:rPr lang="cs-CZ" sz="1202" b="0" i="1" u="none" strike="noStrike" baseline="0">
                <a:effectLst/>
              </a:rPr>
              <a:t>např. v potravinách, trafice či restauraci účtenku po zavedení </a:t>
            </a:r>
            <a:br>
              <a:rPr lang="cs-CZ" sz="1202" b="0" i="1" u="none" strike="noStrike" baseline="0">
                <a:effectLst/>
              </a:rPr>
            </a:br>
            <a:r>
              <a:rPr lang="cs-CZ" sz="1202" b="0" i="1" u="none" strike="noStrike" baseline="0">
                <a:effectLst/>
              </a:rPr>
              <a:t>elektronické evidence tržeb? “</a:t>
            </a:r>
          </a:p>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baseline="0"/>
              <a:t>- podle zkušeností s hotovostními tržbami z podnikání</a:t>
            </a:r>
            <a:endParaRPr lang="cs-CZ" sz="1200" b="0" i="0" u="none" strike="noStrike" baseline="0">
              <a:solidFill>
                <a:srgbClr val="000000"/>
              </a:solidFill>
              <a:latin typeface="Times New Roman" panose="02020603050405020304" pitchFamily="18" charset="0"/>
              <a:cs typeface="Times New Roman" panose="02020603050405020304" pitchFamily="18" charset="0"/>
            </a:endParaRPr>
          </a:p>
        </c:rich>
      </c:tx>
      <c:layout>
        <c:manualLayout>
          <c:xMode val="edge"/>
          <c:yMode val="edge"/>
          <c:x val="0.17078819950893401"/>
          <c:y val="1.29200944365843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25328045932392801"/>
          <c:w val="0.86890756302520999"/>
          <c:h val="0.57502591054803498"/>
        </c:manualLayout>
      </c:layout>
      <c:bar3DChart>
        <c:barDir val="col"/>
        <c:grouping val="stacked"/>
        <c:varyColors val="0"/>
        <c:ser>
          <c:idx val="0"/>
          <c:order val="0"/>
          <c:tx>
            <c:strRef>
              <c:f>Sheet1!$B$1</c:f>
              <c:strCache>
                <c:ptCount val="1"/>
                <c:pt idx="0">
                  <c:v>Určitě+spíše ano</c:v>
                </c:pt>
              </c:strCache>
            </c:strRef>
          </c:tx>
          <c:spPr>
            <a:solidFill>
              <a:srgbClr val="993366"/>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Sheet1!$B$2:$B$3</c:f>
              <c:numCache>
                <c:formatCode>General</c:formatCode>
                <c:ptCount val="2"/>
                <c:pt idx="0">
                  <c:v>59</c:v>
                </c:pt>
                <c:pt idx="1">
                  <c:v>72</c:v>
                </c:pt>
              </c:numCache>
            </c:numRef>
          </c:val>
        </c:ser>
        <c:ser>
          <c:idx val="1"/>
          <c:order val="1"/>
          <c:tx>
            <c:strRef>
              <c:f>Sheet1!$C$1</c:f>
              <c:strCache>
                <c:ptCount val="1"/>
                <c:pt idx="0">
                  <c:v>Určitě+spíše ne</c:v>
                </c:pt>
              </c:strCache>
            </c:strRef>
          </c:tx>
          <c:spPr>
            <a:solidFill>
              <a:srgbClr val="00FF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Sheet1!$C$2:$C$3</c:f>
              <c:numCache>
                <c:formatCode>General</c:formatCode>
                <c:ptCount val="2"/>
                <c:pt idx="0">
                  <c:v>41</c:v>
                </c:pt>
                <c:pt idx="1">
                  <c:v>28</c:v>
                </c:pt>
              </c:numCache>
            </c:numRef>
          </c:val>
        </c:ser>
        <c:dLbls>
          <c:showLegendKey val="0"/>
          <c:showVal val="1"/>
          <c:showCatName val="0"/>
          <c:showSerName val="0"/>
          <c:showPercent val="0"/>
          <c:showBubbleSize val="0"/>
        </c:dLbls>
        <c:gapWidth val="150"/>
        <c:shape val="box"/>
        <c:axId val="158086272"/>
        <c:axId val="158087808"/>
        <c:axId val="0"/>
      </c:bar3DChart>
      <c:catAx>
        <c:axId val="158086272"/>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8087808"/>
        <c:crosses val="autoZero"/>
        <c:auto val="1"/>
        <c:lblAlgn val="ctr"/>
        <c:lblOffset val="100"/>
        <c:tickLblSkip val="1"/>
        <c:tickMarkSkip val="1"/>
        <c:noMultiLvlLbl val="0"/>
      </c:catAx>
      <c:valAx>
        <c:axId val="158087808"/>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8086272"/>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9.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46757679180887"/>
          <c:y val="0.17153284671532901"/>
          <c:w val="0.69624573378839605"/>
          <c:h val="0.66788321167883302"/>
        </c:manualLayout>
      </c:layout>
      <c:pie3DChart>
        <c:varyColors val="1"/>
        <c:ser>
          <c:idx val="0"/>
          <c:order val="0"/>
          <c:tx>
            <c:strRef>
              <c:f>Sheet1!$B$1</c:f>
              <c:strCache>
                <c:ptCount val="1"/>
              </c:strCache>
            </c:strRef>
          </c:tx>
          <c:spPr>
            <a:solidFill>
              <a:srgbClr val="000080"/>
            </a:solidFill>
            <a:ln w="12697">
              <a:solidFill>
                <a:srgbClr val="000000"/>
              </a:solidFill>
              <a:prstDash val="solid"/>
            </a:ln>
          </c:spPr>
          <c:dPt>
            <c:idx val="0"/>
            <c:bubble3D val="0"/>
            <c:spPr>
              <a:solidFill>
                <a:srgbClr val="CC0099"/>
              </a:solidFill>
              <a:ln w="12697">
                <a:solidFill>
                  <a:srgbClr val="000000"/>
                </a:solidFill>
                <a:prstDash val="solid"/>
              </a:ln>
            </c:spPr>
          </c:dPt>
          <c:dPt>
            <c:idx val="1"/>
            <c:bubble3D val="0"/>
            <c:spPr>
              <a:solidFill>
                <a:srgbClr val="CC99FF"/>
              </a:solidFill>
              <a:ln w="12697">
                <a:solidFill>
                  <a:srgbClr val="000000"/>
                </a:solidFill>
                <a:prstDash val="solid"/>
              </a:ln>
            </c:spPr>
          </c:dPt>
          <c:dPt>
            <c:idx val="2"/>
            <c:bubble3D val="0"/>
            <c:spPr>
              <a:solidFill>
                <a:srgbClr val="33CC33"/>
              </a:solidFill>
              <a:ln w="12697">
                <a:solidFill>
                  <a:srgbClr val="000000"/>
                </a:solidFill>
                <a:prstDash val="solid"/>
              </a:ln>
            </c:spPr>
          </c:dPt>
          <c:dPt>
            <c:idx val="3"/>
            <c:bubble3D val="0"/>
            <c:spPr>
              <a:solidFill>
                <a:srgbClr val="006600"/>
              </a:solidFill>
              <a:ln w="12697">
                <a:solidFill>
                  <a:srgbClr val="000000"/>
                </a:solidFill>
                <a:prstDash val="solid"/>
              </a:ln>
            </c:spPr>
          </c:dPt>
          <c:dLbls>
            <c:dLbl>
              <c:idx val="0"/>
              <c:layout>
                <c:manualLayout>
                  <c:x val="-9.6430820128837497E-2"/>
                  <c:y val="-0.204903578919461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7.4368746258915902E-2"/>
                  <c:y val="1.71052792113515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9.7039694102369605E-3"/>
                  <c:y val="-6.487960753910029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7.7333084910965105E-2"/>
                  <c:y val="-2.315605082707309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23890784982935201"/>
                  <c:y val="0.131386861313869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95">
                <a:noFill/>
              </a:ln>
            </c:spPr>
            <c:txPr>
              <a:bodyPr/>
              <a:lstStyle/>
              <a:p>
                <a:pPr>
                  <a:defRPr sz="1200"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Sheet1!$A$2:$A$5</c:f>
              <c:strCache>
                <c:ptCount val="4"/>
                <c:pt idx="0">
                  <c:v>Určitě ano</c:v>
                </c:pt>
                <c:pt idx="1">
                  <c:v>Spíše ano</c:v>
                </c:pt>
                <c:pt idx="2">
                  <c:v>Spíše ne</c:v>
                </c:pt>
                <c:pt idx="3">
                  <c:v>Určitě ne</c:v>
                </c:pt>
              </c:strCache>
            </c:strRef>
          </c:cat>
          <c:val>
            <c:numRef>
              <c:f>Sheet1!$B$2:$B$5</c:f>
              <c:numCache>
                <c:formatCode>General</c:formatCode>
                <c:ptCount val="4"/>
                <c:pt idx="0">
                  <c:v>43</c:v>
                </c:pt>
                <c:pt idx="1">
                  <c:v>29</c:v>
                </c:pt>
                <c:pt idx="2">
                  <c:v>19</c:v>
                </c:pt>
                <c:pt idx="3">
                  <c:v>9</c:v>
                </c:pt>
              </c:numCache>
            </c:numRef>
          </c:val>
        </c:ser>
        <c:dLbls>
          <c:showLegendKey val="0"/>
          <c:showVal val="0"/>
          <c:showCatName val="1"/>
          <c:showSerName val="0"/>
          <c:showPercent val="1"/>
          <c:showBubbleSize val="0"/>
          <c:showLeaderLines val="0"/>
        </c:dLbls>
      </c:pie3DChart>
      <c:spPr>
        <a:noFill/>
        <a:ln w="25395">
          <a:noFill/>
        </a:ln>
      </c:spPr>
    </c:plotArea>
    <c:plotVisOnly val="1"/>
    <c:dispBlanksAs val="zero"/>
    <c:showDLblsOverMax val="0"/>
  </c:chart>
  <c:spPr>
    <a:noFill/>
    <a:ln>
      <a:noFill/>
    </a:ln>
  </c:spPr>
  <c:txPr>
    <a:bodyPr/>
    <a:lstStyle/>
    <a:p>
      <a:pPr>
        <a:defRPr sz="1100"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4899425041925676"/>
          <c:y val="0.2416531753624255"/>
          <c:w val="0.69624573378839605"/>
          <c:h val="0.66788321167883302"/>
        </c:manualLayout>
      </c:layout>
      <c:pie3DChart>
        <c:varyColors val="1"/>
        <c:ser>
          <c:idx val="0"/>
          <c:order val="0"/>
          <c:tx>
            <c:strRef>
              <c:f>Sheet1!$B$1</c:f>
              <c:strCache>
                <c:ptCount val="1"/>
              </c:strCache>
            </c:strRef>
          </c:tx>
          <c:spPr>
            <a:solidFill>
              <a:srgbClr val="000080"/>
            </a:solidFill>
            <a:ln w="12697">
              <a:solidFill>
                <a:srgbClr val="000000"/>
              </a:solidFill>
              <a:prstDash val="solid"/>
            </a:ln>
          </c:spPr>
          <c:dPt>
            <c:idx val="0"/>
            <c:bubble3D val="0"/>
            <c:spPr>
              <a:solidFill>
                <a:srgbClr val="FF0000"/>
              </a:solidFill>
              <a:ln w="12697">
                <a:solidFill>
                  <a:srgbClr val="000000"/>
                </a:solidFill>
                <a:prstDash val="solid"/>
              </a:ln>
            </c:spPr>
          </c:dPt>
          <c:dPt>
            <c:idx val="1"/>
            <c:bubble3D val="0"/>
            <c:spPr>
              <a:solidFill>
                <a:srgbClr val="FF8080"/>
              </a:solidFill>
              <a:ln w="12697">
                <a:solidFill>
                  <a:srgbClr val="000000"/>
                </a:solidFill>
                <a:prstDash val="solid"/>
              </a:ln>
            </c:spPr>
          </c:dPt>
          <c:dPt>
            <c:idx val="2"/>
            <c:bubble3D val="0"/>
            <c:spPr>
              <a:solidFill>
                <a:srgbClr val="CCFFFF"/>
              </a:solidFill>
              <a:ln w="12697">
                <a:solidFill>
                  <a:srgbClr val="000000"/>
                </a:solidFill>
                <a:prstDash val="solid"/>
              </a:ln>
            </c:spPr>
          </c:dPt>
          <c:dLbls>
            <c:dLbl>
              <c:idx val="0"/>
              <c:layout>
                <c:manualLayout>
                  <c:x val="-9.6430820128837497E-2"/>
                  <c:y val="-0.204903578919461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0.17724805982827799"/>
                  <c:y val="-1.5762483860014699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1.4176980861674586E-2"/>
                  <c:y val="-0.10393588466007934"/>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23890784982935201"/>
                  <c:y val="0.131386861313869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95">
                <a:noFill/>
              </a:ln>
            </c:spPr>
            <c:txPr>
              <a:bodyPr/>
              <a:lstStyle/>
              <a:p>
                <a:pPr>
                  <a:defRPr sz="1200"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Sheet1!$A$2:$A$5</c:f>
              <c:strCache>
                <c:ptCount val="4"/>
                <c:pt idx="0">
                  <c:v>Určitě ano</c:v>
                </c:pt>
                <c:pt idx="1">
                  <c:v>Spíše ano</c:v>
                </c:pt>
                <c:pt idx="2">
                  <c:v>Spíše ne</c:v>
                </c:pt>
                <c:pt idx="3">
                  <c:v>Určitě ne</c:v>
                </c:pt>
              </c:strCache>
            </c:strRef>
          </c:cat>
          <c:val>
            <c:numRef>
              <c:f>Sheet1!$B$2:$B$5</c:f>
              <c:numCache>
                <c:formatCode>General</c:formatCode>
                <c:ptCount val="4"/>
                <c:pt idx="0">
                  <c:v>37</c:v>
                </c:pt>
                <c:pt idx="1">
                  <c:v>38</c:v>
                </c:pt>
                <c:pt idx="2">
                  <c:v>20</c:v>
                </c:pt>
                <c:pt idx="3">
                  <c:v>5</c:v>
                </c:pt>
              </c:numCache>
            </c:numRef>
          </c:val>
        </c:ser>
        <c:dLbls>
          <c:showLegendKey val="0"/>
          <c:showVal val="0"/>
          <c:showCatName val="1"/>
          <c:showSerName val="0"/>
          <c:showPercent val="1"/>
          <c:showBubbleSize val="0"/>
          <c:showLeaderLines val="0"/>
        </c:dLbls>
      </c:pie3DChart>
      <c:spPr>
        <a:noFill/>
        <a:ln w="25395">
          <a:noFill/>
        </a:ln>
      </c:spPr>
    </c:plotArea>
    <c:plotVisOnly val="1"/>
    <c:dispBlanksAs val="zero"/>
    <c:showDLblsOverMax val="0"/>
  </c:chart>
  <c:spPr>
    <a:noFill/>
    <a:ln>
      <a:noFill/>
    </a:ln>
  </c:spPr>
  <c:txPr>
    <a:bodyPr/>
    <a:lstStyle/>
    <a:p>
      <a:pPr>
        <a:defRPr sz="1100"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60.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a:t>
            </a:r>
            <a:r>
              <a:rPr lang="cs-CZ" sz="1202" b="0" i="1" u="none" strike="noStrike" baseline="0"/>
              <a:t>Zvýšilo by Vaši motivaci požadovat při placení účtenku, pokud by byla tato účtenka slosovatelná o finanční nebo věcné výhry?</a:t>
            </a:r>
            <a:r>
              <a:rPr lang="cs-CZ" sz="1202" b="0" i="1" u="none" strike="noStrike" baseline="0">
                <a:effectLst/>
              </a:rPr>
              <a:t>“</a:t>
            </a:r>
          </a:p>
          <a:p>
            <a:pPr>
              <a:defRPr sz="1202" b="0" i="1" u="none" strike="noStrike"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vzdělání</a:t>
            </a:r>
          </a:p>
        </c:rich>
      </c:tx>
      <c:layout>
        <c:manualLayout>
          <c:xMode val="edge"/>
          <c:yMode val="edge"/>
          <c:x val="0.17298879565751801"/>
          <c:y val="2.0279315473620801E-2"/>
        </c:manualLayout>
      </c:layout>
      <c:overlay val="0"/>
      <c:spPr>
        <a:noFill/>
        <a:ln w="25415">
          <a:noFill/>
        </a:ln>
      </c:spPr>
    </c:title>
    <c:autoTitleDeleted val="0"/>
    <c:view3D>
      <c:rotX val="9"/>
      <c:hPercent val="54"/>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6"/>
          <c:w val="0.86890756302520999"/>
          <c:h val="0.64269141531322704"/>
        </c:manualLayout>
      </c:layout>
      <c:bar3DChart>
        <c:barDir val="col"/>
        <c:grouping val="stacked"/>
        <c:varyColors val="0"/>
        <c:ser>
          <c:idx val="0"/>
          <c:order val="0"/>
          <c:tx>
            <c:strRef>
              <c:f>Sheet1!$B$1</c:f>
              <c:strCache>
                <c:ptCount val="1"/>
                <c:pt idx="0">
                  <c:v>Určitě+spíše ano</c:v>
                </c:pt>
              </c:strCache>
            </c:strRef>
          </c:tx>
          <c:spPr>
            <a:solidFill>
              <a:srgbClr val="993366"/>
            </a:solidFill>
            <a:ln w="12708">
              <a:solidFill>
                <a:srgbClr val="000000"/>
              </a:solidFill>
              <a:prstDash val="solid"/>
            </a:ln>
          </c:spPr>
          <c:invertIfNegative val="0"/>
          <c:dLbls>
            <c:dLbl>
              <c:idx val="0"/>
              <c:layout>
                <c:manualLayout>
                  <c:x val="1.3801015968544501E-3"/>
                  <c:y val="-7.4234031736233599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3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8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30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Sheet1!$B$2:$B$5</c:f>
              <c:numCache>
                <c:formatCode>General</c:formatCode>
                <c:ptCount val="4"/>
                <c:pt idx="0">
                  <c:v>78</c:v>
                </c:pt>
                <c:pt idx="1">
                  <c:v>74</c:v>
                </c:pt>
                <c:pt idx="2">
                  <c:v>71</c:v>
                </c:pt>
                <c:pt idx="3">
                  <c:v>62</c:v>
                </c:pt>
              </c:numCache>
            </c:numRef>
          </c:val>
        </c:ser>
        <c:ser>
          <c:idx val="1"/>
          <c:order val="1"/>
          <c:tx>
            <c:strRef>
              <c:f>Sheet1!$C$1</c:f>
              <c:strCache>
                <c:ptCount val="1"/>
                <c:pt idx="0">
                  <c:v>Určitě+spíše ne</c:v>
                </c:pt>
              </c:strCache>
            </c:strRef>
          </c:tx>
          <c:spPr>
            <a:solidFill>
              <a:srgbClr val="00FF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2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207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8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Základní</c:v>
                </c:pt>
                <c:pt idx="1">
                  <c:v>Vyučení</c:v>
                </c:pt>
                <c:pt idx="2">
                  <c:v>Maturita</c:v>
                </c:pt>
                <c:pt idx="3">
                  <c:v>VŠ</c:v>
                </c:pt>
              </c:strCache>
            </c:strRef>
          </c:cat>
          <c:val>
            <c:numRef>
              <c:f>Sheet1!$C$2:$C$5</c:f>
              <c:numCache>
                <c:formatCode>General</c:formatCode>
                <c:ptCount val="4"/>
                <c:pt idx="0">
                  <c:v>22</c:v>
                </c:pt>
                <c:pt idx="1">
                  <c:v>26</c:v>
                </c:pt>
                <c:pt idx="2">
                  <c:v>29</c:v>
                </c:pt>
                <c:pt idx="3">
                  <c:v>38</c:v>
                </c:pt>
              </c:numCache>
            </c:numRef>
          </c:val>
        </c:ser>
        <c:dLbls>
          <c:showLegendKey val="0"/>
          <c:showVal val="1"/>
          <c:showCatName val="0"/>
          <c:showSerName val="0"/>
          <c:showPercent val="0"/>
          <c:showBubbleSize val="0"/>
        </c:dLbls>
        <c:gapWidth val="150"/>
        <c:shape val="box"/>
        <c:axId val="157749632"/>
        <c:axId val="157751168"/>
        <c:axId val="0"/>
      </c:bar3DChart>
      <c:catAx>
        <c:axId val="157749632"/>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7751168"/>
        <c:crosses val="autoZero"/>
        <c:auto val="1"/>
        <c:lblAlgn val="ctr"/>
        <c:lblOffset val="100"/>
        <c:tickLblSkip val="1"/>
        <c:tickMarkSkip val="1"/>
        <c:noMultiLvlLbl val="0"/>
      </c:catAx>
      <c:valAx>
        <c:axId val="157751168"/>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7749632"/>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6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„Zvýšilo by Vaši motivaci požadovat při placení účtenku, pokud by byla tato účtenka slosovatelná o finanční nebo věcné výhry? “</a:t>
            </a:r>
          </a:p>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baseline="0"/>
              <a:t>- podle zkušeností s hotovostními tržbami z podnikání</a:t>
            </a:r>
            <a:endParaRPr lang="cs-CZ" sz="1200" b="0" i="0" u="none" strike="noStrike" baseline="0">
              <a:solidFill>
                <a:srgbClr val="000000"/>
              </a:solidFill>
              <a:latin typeface="Times New Roman" panose="02020603050405020304" pitchFamily="18" charset="0"/>
              <a:cs typeface="Times New Roman" panose="02020603050405020304" pitchFamily="18" charset="0"/>
            </a:endParaRPr>
          </a:p>
        </c:rich>
      </c:tx>
      <c:layout>
        <c:manualLayout>
          <c:xMode val="edge"/>
          <c:yMode val="edge"/>
          <c:x val="0.144378966258739"/>
          <c:y val="4.5143342099154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22750626663375501"/>
          <c:w val="0.86890756302520999"/>
          <c:h val="0.60087100035646801"/>
        </c:manualLayout>
      </c:layout>
      <c:bar3DChart>
        <c:barDir val="col"/>
        <c:grouping val="stacked"/>
        <c:varyColors val="0"/>
        <c:ser>
          <c:idx val="0"/>
          <c:order val="0"/>
          <c:tx>
            <c:strRef>
              <c:f>Sheet1!$B$1</c:f>
              <c:strCache>
                <c:ptCount val="1"/>
                <c:pt idx="0">
                  <c:v>Určitě+spíše ano</c:v>
                </c:pt>
              </c:strCache>
            </c:strRef>
          </c:tx>
          <c:spPr>
            <a:solidFill>
              <a:srgbClr val="993366"/>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Sheet1!$B$2:$B$3</c:f>
              <c:numCache>
                <c:formatCode>General</c:formatCode>
                <c:ptCount val="2"/>
                <c:pt idx="0">
                  <c:v>55</c:v>
                </c:pt>
                <c:pt idx="1">
                  <c:v>75</c:v>
                </c:pt>
              </c:numCache>
            </c:numRef>
          </c:val>
        </c:ser>
        <c:ser>
          <c:idx val="1"/>
          <c:order val="1"/>
          <c:tx>
            <c:strRef>
              <c:f>Sheet1!$C$1</c:f>
              <c:strCache>
                <c:ptCount val="1"/>
                <c:pt idx="0">
                  <c:v>Určitě+spíše ne</c:v>
                </c:pt>
              </c:strCache>
            </c:strRef>
          </c:tx>
          <c:spPr>
            <a:solidFill>
              <a:srgbClr val="00FF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Přijímají hotovostní tržby</c:v>
                </c:pt>
                <c:pt idx="1">
                  <c:v>Nepřijímají</c:v>
                </c:pt>
              </c:strCache>
            </c:strRef>
          </c:cat>
          <c:val>
            <c:numRef>
              <c:f>Sheet1!$C$2:$C$3</c:f>
              <c:numCache>
                <c:formatCode>General</c:formatCode>
                <c:ptCount val="2"/>
                <c:pt idx="0">
                  <c:v>45</c:v>
                </c:pt>
                <c:pt idx="1">
                  <c:v>25</c:v>
                </c:pt>
              </c:numCache>
            </c:numRef>
          </c:val>
        </c:ser>
        <c:dLbls>
          <c:showLegendKey val="0"/>
          <c:showVal val="1"/>
          <c:showCatName val="0"/>
          <c:showSerName val="0"/>
          <c:showPercent val="0"/>
          <c:showBubbleSize val="0"/>
        </c:dLbls>
        <c:gapWidth val="150"/>
        <c:shape val="box"/>
        <c:axId val="157991296"/>
        <c:axId val="157992832"/>
        <c:axId val="0"/>
      </c:bar3DChart>
      <c:catAx>
        <c:axId val="15799129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7992832"/>
        <c:crosses val="autoZero"/>
        <c:auto val="1"/>
        <c:lblAlgn val="ctr"/>
        <c:lblOffset val="100"/>
        <c:tickLblSkip val="1"/>
        <c:tickMarkSkip val="1"/>
        <c:noMultiLvlLbl val="0"/>
      </c:catAx>
      <c:valAx>
        <c:axId val="157992832"/>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7991296"/>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6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„Zvýšilo by Vaši motivaci požadovat při placení účtenku, pokud by byla tato účtenka slosovatelná o finanční nebo věcné výhry? “</a:t>
            </a:r>
          </a:p>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baseline="0"/>
              <a:t>- podle toho, zda budou po zavedení EET požadovat při placení účtenku</a:t>
            </a:r>
            <a:endParaRPr lang="cs-CZ" sz="1200" b="0" i="0" u="none" strike="noStrike" baseline="0">
              <a:solidFill>
                <a:srgbClr val="000000"/>
              </a:solidFill>
              <a:latin typeface="Times New Roman" panose="02020603050405020304" pitchFamily="18" charset="0"/>
              <a:cs typeface="Times New Roman" panose="02020603050405020304" pitchFamily="18" charset="0"/>
            </a:endParaRPr>
          </a:p>
        </c:rich>
      </c:tx>
      <c:layout>
        <c:manualLayout>
          <c:xMode val="edge"/>
          <c:yMode val="edge"/>
          <c:x val="0.144378966258739"/>
          <c:y val="4.5143342099154E-2"/>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22750626663375501"/>
          <c:w val="0.86890756302520999"/>
          <c:h val="0.60087100035646801"/>
        </c:manualLayout>
      </c:layout>
      <c:bar3DChart>
        <c:barDir val="col"/>
        <c:grouping val="stacked"/>
        <c:varyColors val="0"/>
        <c:ser>
          <c:idx val="0"/>
          <c:order val="0"/>
          <c:tx>
            <c:strRef>
              <c:f>Sheet1!$B$1</c:f>
              <c:strCache>
                <c:ptCount val="1"/>
                <c:pt idx="0">
                  <c:v>Určitě+spíše ano</c:v>
                </c:pt>
              </c:strCache>
            </c:strRef>
          </c:tx>
          <c:spPr>
            <a:solidFill>
              <a:srgbClr val="993366"/>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Budou požadovat</c:v>
                </c:pt>
                <c:pt idx="1">
                  <c:v>Nebudou požadovat</c:v>
                </c:pt>
              </c:strCache>
            </c:strRef>
          </c:cat>
          <c:val>
            <c:numRef>
              <c:f>Sheet1!$B$2:$B$3</c:f>
              <c:numCache>
                <c:formatCode>General</c:formatCode>
                <c:ptCount val="2"/>
                <c:pt idx="0">
                  <c:v>78</c:v>
                </c:pt>
                <c:pt idx="1">
                  <c:v>58</c:v>
                </c:pt>
              </c:numCache>
            </c:numRef>
          </c:val>
        </c:ser>
        <c:ser>
          <c:idx val="1"/>
          <c:order val="1"/>
          <c:tx>
            <c:strRef>
              <c:f>Sheet1!$C$1</c:f>
              <c:strCache>
                <c:ptCount val="1"/>
                <c:pt idx="0">
                  <c:v>Určitě+spíše ne</c:v>
                </c:pt>
              </c:strCache>
            </c:strRef>
          </c:tx>
          <c:spPr>
            <a:solidFill>
              <a:srgbClr val="00FF99"/>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Budou požadovat</c:v>
                </c:pt>
                <c:pt idx="1">
                  <c:v>Nebudou požadovat</c:v>
                </c:pt>
              </c:strCache>
            </c:strRef>
          </c:cat>
          <c:val>
            <c:numRef>
              <c:f>Sheet1!$C$2:$C$3</c:f>
              <c:numCache>
                <c:formatCode>General</c:formatCode>
                <c:ptCount val="2"/>
                <c:pt idx="0">
                  <c:v>22</c:v>
                </c:pt>
                <c:pt idx="1">
                  <c:v>42</c:v>
                </c:pt>
              </c:numCache>
            </c:numRef>
          </c:val>
        </c:ser>
        <c:dLbls>
          <c:showLegendKey val="0"/>
          <c:showVal val="1"/>
          <c:showCatName val="0"/>
          <c:showSerName val="0"/>
          <c:showPercent val="0"/>
          <c:showBubbleSize val="0"/>
        </c:dLbls>
        <c:gapWidth val="150"/>
        <c:shape val="box"/>
        <c:axId val="158372608"/>
        <c:axId val="158374144"/>
        <c:axId val="0"/>
      </c:bar3DChart>
      <c:catAx>
        <c:axId val="158372608"/>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8374144"/>
        <c:crosses val="autoZero"/>
        <c:auto val="1"/>
        <c:lblAlgn val="ctr"/>
        <c:lblOffset val="100"/>
        <c:tickLblSkip val="1"/>
        <c:tickMarkSkip val="1"/>
        <c:noMultiLvlLbl val="0"/>
      </c:catAx>
      <c:valAx>
        <c:axId val="158374144"/>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58372608"/>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6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6894197952218401"/>
          <c:y val="0.167883211678832"/>
          <c:w val="0.713310580204778"/>
          <c:h val="0.68613138686131403"/>
        </c:manualLayout>
      </c:layout>
      <c:pie3DChart>
        <c:varyColors val="1"/>
        <c:ser>
          <c:idx val="0"/>
          <c:order val="0"/>
          <c:tx>
            <c:strRef>
              <c:f>Sheet1!$B$1</c:f>
              <c:strCache>
                <c:ptCount val="1"/>
              </c:strCache>
            </c:strRef>
          </c:tx>
          <c:spPr>
            <a:solidFill>
              <a:srgbClr val="000080"/>
            </a:solidFill>
            <a:ln w="12697">
              <a:solidFill>
                <a:srgbClr val="000000"/>
              </a:solidFill>
              <a:prstDash val="solid"/>
            </a:ln>
          </c:spPr>
          <c:dPt>
            <c:idx val="0"/>
            <c:bubble3D val="0"/>
            <c:spPr>
              <a:solidFill>
                <a:srgbClr val="FF0000"/>
              </a:solidFill>
              <a:ln w="12697">
                <a:solidFill>
                  <a:srgbClr val="000000"/>
                </a:solidFill>
                <a:prstDash val="solid"/>
              </a:ln>
            </c:spPr>
          </c:dPt>
          <c:dPt>
            <c:idx val="2"/>
            <c:bubble3D val="0"/>
            <c:spPr>
              <a:solidFill>
                <a:srgbClr val="C0C0C0"/>
              </a:solidFill>
              <a:ln w="12697">
                <a:solidFill>
                  <a:srgbClr val="000000"/>
                </a:solidFill>
                <a:prstDash val="solid"/>
              </a:ln>
            </c:spPr>
          </c:dPt>
          <c:dLbls>
            <c:dLbl>
              <c:idx val="0"/>
              <c:layout>
                <c:manualLayout>
                  <c:x val="1.3736019417800601E-3"/>
                  <c:y val="-6.5897780965549893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0.24072303588570301"/>
                  <c:y val="-8.1046147930700502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5.5893801600865002E-3"/>
                  <c:y val="-2.73717722359136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Mode val="edge"/>
                  <c:yMode val="edge"/>
                  <c:x val="5.6313993174061501E-2"/>
                  <c:y val="0.35036496350364998"/>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23890784982935201"/>
                  <c:y val="0.131386861313869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95">
                <a:noFill/>
              </a:ln>
            </c:spPr>
            <c:txPr>
              <a:bodyPr/>
              <a:lstStyle/>
              <a:p>
                <a:pPr>
                  <a:defRPr sz="1200"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Sheet1!$A$2:$A$4</c:f>
              <c:strCache>
                <c:ptCount val="3"/>
                <c:pt idx="0">
                  <c:v>Ano</c:v>
                </c:pt>
                <c:pt idx="1">
                  <c:v>Ne</c:v>
                </c:pt>
                <c:pt idx="2">
                  <c:v>Nevím</c:v>
                </c:pt>
              </c:strCache>
            </c:strRef>
          </c:cat>
          <c:val>
            <c:numRef>
              <c:f>Sheet1!$B$2:$B$4</c:f>
              <c:numCache>
                <c:formatCode>General</c:formatCode>
                <c:ptCount val="3"/>
                <c:pt idx="0">
                  <c:v>19</c:v>
                </c:pt>
                <c:pt idx="1">
                  <c:v>72</c:v>
                </c:pt>
                <c:pt idx="2">
                  <c:v>9</c:v>
                </c:pt>
              </c:numCache>
            </c:numRef>
          </c:val>
        </c:ser>
        <c:dLbls>
          <c:showLegendKey val="0"/>
          <c:showVal val="0"/>
          <c:showCatName val="1"/>
          <c:showSerName val="0"/>
          <c:showPercent val="1"/>
          <c:showBubbleSize val="0"/>
          <c:showLeaderLines val="0"/>
        </c:dLbls>
      </c:pie3DChart>
      <c:spPr>
        <a:noFill/>
        <a:ln w="25395">
          <a:noFill/>
        </a:ln>
      </c:spPr>
    </c:plotArea>
    <c:plotVisOnly val="1"/>
    <c:dispBlanksAs val="zero"/>
    <c:showDLblsOverMax val="0"/>
  </c:chart>
  <c:spPr>
    <a:noFill/>
    <a:ln>
      <a:noFill/>
    </a:ln>
  </c:spPr>
  <c:txPr>
    <a:bodyPr/>
    <a:lstStyle/>
    <a:p>
      <a:pPr>
        <a:defRPr sz="1000"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0" i="1" u="none" strike="noStrike" baseline="0">
                <a:solidFill>
                  <a:srgbClr val="000000"/>
                </a:solidFill>
                <a:latin typeface="Times New Roman CE"/>
                <a:ea typeface="Times New Roman CE"/>
                <a:cs typeface="Times New Roman CE"/>
              </a:defRPr>
            </a:pPr>
            <a:r>
              <a:rPr lang="cs-CZ" sz="1200" b="0" i="1" u="none" strike="noStrike" baseline="0">
                <a:solidFill>
                  <a:srgbClr val="000000"/>
                </a:solidFill>
                <a:latin typeface="Times New Roman" panose="02020603050405020304" pitchFamily="18" charset="0"/>
                <a:cs typeface="Times New Roman" panose="02020603050405020304" pitchFamily="18" charset="0"/>
              </a:rPr>
              <a:t>„Hledá podle Vás stát cesty, jak dosáhnout vyššího výběru daní od obchodníků a prodejců na našem trhu?“</a:t>
            </a:r>
          </a:p>
          <a:p>
            <a:pPr>
              <a:defRPr sz="1200" b="0" i="1" u="none" strike="noStrike" baseline="0">
                <a:solidFill>
                  <a:srgbClr val="000000"/>
                </a:solidFill>
                <a:latin typeface="Times New Roman CE"/>
                <a:ea typeface="Times New Roman CE"/>
                <a:cs typeface="Times New Roman CE"/>
              </a:defRPr>
            </a:pPr>
            <a:r>
              <a:rPr lang="cs-CZ" sz="1200" b="0" i="0" u="none" strike="noStrike" baseline="0">
                <a:solidFill>
                  <a:srgbClr val="000000"/>
                </a:solidFill>
                <a:latin typeface="Times New Roman" panose="02020603050405020304" pitchFamily="18" charset="0"/>
                <a:cs typeface="Times New Roman" panose="02020603050405020304" pitchFamily="18" charset="0"/>
              </a:rPr>
              <a:t>- podle sympatizantů politických stran</a:t>
            </a:r>
          </a:p>
        </c:rich>
      </c:tx>
      <c:layout>
        <c:manualLayout>
          <c:xMode val="edge"/>
          <c:yMode val="edge"/>
          <c:x val="0.189734731325996"/>
          <c:y val="3.32753997944066E-2"/>
        </c:manualLayout>
      </c:layout>
      <c:overlay val="0"/>
      <c:spPr>
        <a:noFill/>
        <a:ln w="25403">
          <a:noFill/>
        </a:ln>
      </c:spPr>
    </c:title>
    <c:autoTitleDeleted val="0"/>
    <c:view3D>
      <c:rotX val="9"/>
      <c:hPercent val="63"/>
      <c:rotY val="25"/>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6.6215746070856896E-2"/>
          <c:y val="0.18144127340744601"/>
          <c:w val="0.93326329195628799"/>
          <c:h val="0.62268041237113503"/>
        </c:manualLayout>
      </c:layout>
      <c:bar3DChart>
        <c:barDir val="col"/>
        <c:grouping val="stacked"/>
        <c:varyColors val="0"/>
        <c:ser>
          <c:idx val="0"/>
          <c:order val="0"/>
          <c:tx>
            <c:strRef>
              <c:f>Sheet1!$B$1</c:f>
              <c:strCache>
                <c:ptCount val="1"/>
                <c:pt idx="0">
                  <c:v>Určitě+spíše ano</c:v>
                </c:pt>
              </c:strCache>
            </c:strRef>
          </c:tx>
          <c:spPr>
            <a:solidFill>
              <a:srgbClr val="993366"/>
            </a:solidFill>
            <a:ln w="12701">
              <a:solidFill>
                <a:srgbClr val="000000"/>
              </a:solidFill>
              <a:prstDash val="solid"/>
            </a:ln>
          </c:spPr>
          <c:invertIfNegative val="0"/>
          <c:dLbls>
            <c:dLbl>
              <c:idx val="0"/>
              <c:layout>
                <c:manualLayout>
                  <c:x val="4.6295043974009902E-3"/>
                  <c:y val="-9.4436471598164408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9744432040844198E-3"/>
                  <c:y val="-5.6025741082607302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9580374729526798E-3"/>
                  <c:y val="-5.6025741082607302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3029762796361199E-3"/>
                  <c:y val="-3.2580801495071801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1669175476420801E-3"/>
                  <c:y val="3.73442373956575E-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3.0624541798794903E-3"/>
                  <c:y val="-9.5676194791984824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03">
                <a:noFill/>
              </a:ln>
            </c:spPr>
            <c:txPr>
              <a:bodyPr/>
              <a:lstStyle/>
              <a:p>
                <a:pPr algn="r">
                  <a:defRPr sz="1000"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ČSSD</c:v>
                </c:pt>
                <c:pt idx="1">
                  <c:v>ANO</c:v>
                </c:pt>
                <c:pt idx="2">
                  <c:v>KDU-ČSL</c:v>
                </c:pt>
                <c:pt idx="3">
                  <c:v>SPD (Okamura)</c:v>
                </c:pt>
                <c:pt idx="4">
                  <c:v>KSČM</c:v>
                </c:pt>
                <c:pt idx="5">
                  <c:v>TOP 09</c:v>
                </c:pt>
                <c:pt idx="6">
                  <c:v>ODS</c:v>
                </c:pt>
              </c:strCache>
            </c:strRef>
          </c:cat>
          <c:val>
            <c:numRef>
              <c:f>Sheet1!$B$2:$B$8</c:f>
              <c:numCache>
                <c:formatCode>General</c:formatCode>
                <c:ptCount val="7"/>
                <c:pt idx="0">
                  <c:v>91</c:v>
                </c:pt>
                <c:pt idx="1">
                  <c:v>90</c:v>
                </c:pt>
                <c:pt idx="2">
                  <c:v>90</c:v>
                </c:pt>
                <c:pt idx="3">
                  <c:v>80</c:v>
                </c:pt>
                <c:pt idx="4">
                  <c:v>75</c:v>
                </c:pt>
                <c:pt idx="5">
                  <c:v>73</c:v>
                </c:pt>
                <c:pt idx="6">
                  <c:v>71</c:v>
                </c:pt>
              </c:numCache>
            </c:numRef>
          </c:val>
        </c:ser>
        <c:ser>
          <c:idx val="1"/>
          <c:order val="1"/>
          <c:tx>
            <c:strRef>
              <c:f>Sheet1!$C$1</c:f>
              <c:strCache>
                <c:ptCount val="1"/>
                <c:pt idx="0">
                  <c:v>Určitě+spíše ne</c:v>
                </c:pt>
              </c:strCache>
            </c:strRef>
          </c:tx>
          <c:spPr>
            <a:solidFill>
              <a:schemeClr val="tx1">
                <a:lumMod val="50000"/>
                <a:lumOff val="50000"/>
              </a:schemeClr>
            </a:solidFill>
            <a:ln w="12701">
              <a:solidFill>
                <a:srgbClr val="000000"/>
              </a:solidFill>
              <a:prstDash val="solid"/>
            </a:ln>
          </c:spPr>
          <c:invertIfNegative val="0"/>
          <c:dLbls>
            <c:dLbl>
              <c:idx val="0"/>
              <c:layout>
                <c:manualLayout>
                  <c:x val="6.3101766663085498E-3"/>
                  <c:y val="-2.9618798414211898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937709351768601E-3"/>
                  <c:y val="-7.368229470277850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7.0830857058576098E-4"/>
                  <c:y val="-3.2445972305620201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6222296450215E-3"/>
                  <c:y val="-2.331921787996050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1669175476420801E-3"/>
                  <c:y val="4.6424361863731597E-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8.5875039584246203E-4"/>
                  <c:y val="3.38575882943546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03">
                <a:noFill/>
              </a:ln>
            </c:spPr>
            <c:txPr>
              <a:bodyPr/>
              <a:lstStyle/>
              <a:p>
                <a:pPr>
                  <a:defRPr sz="1000"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ČSSD</c:v>
                </c:pt>
                <c:pt idx="1">
                  <c:v>ANO</c:v>
                </c:pt>
                <c:pt idx="2">
                  <c:v>KDU-ČSL</c:v>
                </c:pt>
                <c:pt idx="3">
                  <c:v>SPD (Okamura)</c:v>
                </c:pt>
                <c:pt idx="4">
                  <c:v>KSČM</c:v>
                </c:pt>
                <c:pt idx="5">
                  <c:v>TOP 09</c:v>
                </c:pt>
                <c:pt idx="6">
                  <c:v>ODS</c:v>
                </c:pt>
              </c:strCache>
            </c:strRef>
          </c:cat>
          <c:val>
            <c:numRef>
              <c:f>Sheet1!$C$2:$C$8</c:f>
              <c:numCache>
                <c:formatCode>General</c:formatCode>
                <c:ptCount val="7"/>
                <c:pt idx="0">
                  <c:v>9</c:v>
                </c:pt>
                <c:pt idx="1">
                  <c:v>10</c:v>
                </c:pt>
                <c:pt idx="2">
                  <c:v>10</c:v>
                </c:pt>
                <c:pt idx="3">
                  <c:v>20</c:v>
                </c:pt>
                <c:pt idx="4">
                  <c:v>25</c:v>
                </c:pt>
                <c:pt idx="5">
                  <c:v>27</c:v>
                </c:pt>
                <c:pt idx="6">
                  <c:v>29</c:v>
                </c:pt>
              </c:numCache>
            </c:numRef>
          </c:val>
        </c:ser>
        <c:dLbls>
          <c:showLegendKey val="0"/>
          <c:showVal val="1"/>
          <c:showCatName val="0"/>
          <c:showSerName val="0"/>
          <c:showPercent val="0"/>
          <c:showBubbleSize val="0"/>
        </c:dLbls>
        <c:gapWidth val="150"/>
        <c:shape val="box"/>
        <c:axId val="113795072"/>
        <c:axId val="113796608"/>
        <c:axId val="0"/>
      </c:bar3DChart>
      <c:catAx>
        <c:axId val="11379507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0" i="0" u="none" strike="noStrike" baseline="0">
                <a:solidFill>
                  <a:srgbClr val="000000"/>
                </a:solidFill>
                <a:latin typeface="Times New Roman CE"/>
                <a:ea typeface="Times New Roman CE"/>
                <a:cs typeface="Times New Roman CE"/>
              </a:defRPr>
            </a:pPr>
            <a:endParaRPr lang="cs-CZ"/>
          </a:p>
        </c:txPr>
        <c:crossAx val="113796608"/>
        <c:crosses val="autoZero"/>
        <c:auto val="1"/>
        <c:lblAlgn val="ctr"/>
        <c:lblOffset val="100"/>
        <c:tickLblSkip val="1"/>
        <c:tickMarkSkip val="1"/>
        <c:noMultiLvlLbl val="0"/>
      </c:catAx>
      <c:valAx>
        <c:axId val="113796608"/>
        <c:scaling>
          <c:orientation val="minMax"/>
          <c:max val="100"/>
          <c:min val="0"/>
        </c:scaling>
        <c:delete val="0"/>
        <c:axPos val="l"/>
        <c:title>
          <c:tx>
            <c:rich>
              <a:bodyPr rot="0" vert="horz"/>
              <a:lstStyle/>
              <a:p>
                <a:pPr algn="ctr">
                  <a:defRPr sz="1200"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2.6890756302521E-2"/>
              <c:y val="0.38762886597938201"/>
            </c:manualLayout>
          </c:layout>
          <c:overlay val="0"/>
          <c:spPr>
            <a:noFill/>
            <a:ln w="25403">
              <a:noFill/>
            </a:ln>
          </c:spPr>
        </c:title>
        <c:numFmt formatCode="General" sourceLinked="1"/>
        <c:majorTickMark val="out"/>
        <c:minorTickMark val="none"/>
        <c:tickLblPos val="nextTo"/>
        <c:spPr>
          <a:ln w="3175">
            <a:solidFill>
              <a:srgbClr val="000000"/>
            </a:solidFill>
            <a:prstDash val="solid"/>
          </a:ln>
        </c:spPr>
        <c:txPr>
          <a:bodyPr rot="0" vert="horz"/>
          <a:lstStyle/>
          <a:p>
            <a:pPr>
              <a:defRPr sz="1200" b="0" i="0" u="none" strike="noStrike" baseline="0">
                <a:solidFill>
                  <a:srgbClr val="000000"/>
                </a:solidFill>
                <a:latin typeface="Times New Roman CE"/>
                <a:ea typeface="Times New Roman CE"/>
                <a:cs typeface="Times New Roman CE"/>
              </a:defRPr>
            </a:pPr>
            <a:endParaRPr lang="cs-CZ"/>
          </a:p>
        </c:txPr>
        <c:crossAx val="113795072"/>
        <c:crosses val="autoZero"/>
        <c:crossBetween val="between"/>
        <c:majorUnit val="20"/>
      </c:valAx>
      <c:spPr>
        <a:noFill/>
        <a:ln w="25403">
          <a:noFill/>
        </a:ln>
      </c:spPr>
    </c:plotArea>
    <c:legend>
      <c:legendPos val="b"/>
      <c:layout>
        <c:manualLayout>
          <c:xMode val="edge"/>
          <c:yMode val="edge"/>
          <c:x val="0.27226890756302502"/>
          <c:y val="0.92371134020618595"/>
          <c:w val="0.55294117647058905"/>
          <c:h val="6.8041237113402098E-2"/>
        </c:manualLayout>
      </c:layout>
      <c:overlay val="0"/>
      <c:spPr>
        <a:noFill/>
        <a:ln w="3175">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0"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0"/>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6.1732022543953199E-2"/>
          <c:w val="0.86890756302520999"/>
          <c:h val="0.76659271269894702"/>
        </c:manualLayout>
      </c:layout>
      <c:bar3DChart>
        <c:barDir val="col"/>
        <c:grouping val="stacked"/>
        <c:varyColors val="0"/>
        <c:ser>
          <c:idx val="0"/>
          <c:order val="0"/>
          <c:tx>
            <c:strRef>
              <c:f>Sheet1!$B$1</c:f>
              <c:strCache>
                <c:ptCount val="1"/>
                <c:pt idx="0">
                  <c:v>Ano</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Sheet1!$B$2:$B$3</c:f>
              <c:numCache>
                <c:formatCode>General</c:formatCode>
                <c:ptCount val="2"/>
                <c:pt idx="0">
                  <c:v>83</c:v>
                </c:pt>
                <c:pt idx="1">
                  <c:v>92</c:v>
                </c:pt>
              </c:numCache>
            </c:numRef>
          </c:val>
        </c:ser>
        <c:ser>
          <c:idx val="1"/>
          <c:order val="1"/>
          <c:tx>
            <c:strRef>
              <c:f>Sheet1!$C$1</c:f>
              <c:strCache>
                <c:ptCount val="1"/>
                <c:pt idx="0">
                  <c:v>Ne</c:v>
                </c:pt>
              </c:strCache>
            </c:strRef>
          </c:tx>
          <c:spPr>
            <a:solidFill>
              <a:srgbClr val="33CC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Sheet1!$C$2:$C$3</c:f>
              <c:numCache>
                <c:formatCode>General</c:formatCode>
                <c:ptCount val="2"/>
                <c:pt idx="0">
                  <c:v>17</c:v>
                </c:pt>
                <c:pt idx="1">
                  <c:v>8</c:v>
                </c:pt>
              </c:numCache>
            </c:numRef>
          </c:val>
        </c:ser>
        <c:dLbls>
          <c:showLegendKey val="0"/>
          <c:showVal val="1"/>
          <c:showCatName val="0"/>
          <c:showSerName val="0"/>
          <c:showPercent val="0"/>
          <c:showBubbleSize val="0"/>
        </c:dLbls>
        <c:gapWidth val="150"/>
        <c:shape val="box"/>
        <c:axId val="115625984"/>
        <c:axId val="115627520"/>
        <c:axId val="0"/>
      </c:bar3DChart>
      <c:catAx>
        <c:axId val="115625984"/>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5627520"/>
        <c:crosses val="autoZero"/>
        <c:auto val="1"/>
        <c:lblAlgn val="ctr"/>
        <c:lblOffset val="100"/>
        <c:tickLblSkip val="1"/>
        <c:tickMarkSkip val="1"/>
        <c:noMultiLvlLbl val="0"/>
      </c:catAx>
      <c:valAx>
        <c:axId val="115627520"/>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115625984"/>
        <c:crosses val="autoZero"/>
        <c:crossBetween val="between"/>
        <c:majorUnit val="20"/>
      </c:valAx>
      <c:spPr>
        <a:noFill/>
        <a:ln w="25415">
          <a:noFill/>
        </a:ln>
      </c:spPr>
    </c:plotArea>
    <c:legend>
      <c:legendPos val="b"/>
      <c:layout>
        <c:manualLayout>
          <c:xMode val="edge"/>
          <c:yMode val="edge"/>
          <c:x val="0.173871876055438"/>
          <c:y val="0.89553257955194498"/>
          <c:w val="0.640326864515261"/>
          <c:h val="6.7607314449167399E-2"/>
        </c:manualLayout>
      </c:layout>
      <c:overlay val="0"/>
      <c:spPr>
        <a:noFill/>
        <a:ln w="3177">
          <a:noFill/>
          <a:prstDash val="solid"/>
        </a:ln>
      </c:spPr>
      <c:txPr>
        <a:bodyPr/>
        <a:lstStyle/>
        <a:p>
          <a:pPr>
            <a:defRPr sz="12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0" i="1" u="none" strike="noStrike" baseline="0">
                <a:solidFill>
                  <a:srgbClr val="000000"/>
                </a:solidFill>
                <a:latin typeface="Times New Roman CE"/>
                <a:ea typeface="Times New Roman CE"/>
                <a:cs typeface="Times New Roman CE"/>
              </a:defRPr>
            </a:pPr>
            <a:r>
              <a:rPr lang="cs-CZ" sz="1100" b="0" i="1" u="none" strike="noStrike" baseline="0">
                <a:solidFill>
                  <a:srgbClr val="000000"/>
                </a:solidFill>
                <a:latin typeface="Times New Roman" panose="02020603050405020304" pitchFamily="18" charset="0"/>
                <a:cs typeface="Times New Roman" panose="02020603050405020304" pitchFamily="18" charset="0"/>
              </a:rPr>
              <a:t>„Slyšel(a) jste někdy termín nebo slovní spojení </a:t>
            </a:r>
          </a:p>
          <a:p>
            <a:pPr>
              <a:defRPr sz="1100" b="0" i="1" u="none" strike="noStrike" baseline="0">
                <a:solidFill>
                  <a:srgbClr val="000000"/>
                </a:solidFill>
                <a:latin typeface="Times New Roman CE"/>
                <a:ea typeface="Times New Roman CE"/>
                <a:cs typeface="Times New Roman CE"/>
              </a:defRPr>
            </a:pPr>
            <a:r>
              <a:rPr lang="cs-CZ" sz="1100" b="0" i="1" u="none" strike="noStrike" baseline="0">
                <a:solidFill>
                  <a:srgbClr val="000000"/>
                </a:solidFill>
                <a:latin typeface="Times New Roman" panose="02020603050405020304" pitchFamily="18" charset="0"/>
                <a:cs typeface="Times New Roman" panose="02020603050405020304" pitchFamily="18" charset="0"/>
              </a:rPr>
              <a:t>„elektronická evidence tržeb“?“</a:t>
            </a:r>
          </a:p>
          <a:p>
            <a:pPr>
              <a:defRPr sz="1100" b="0" i="1" u="none" strike="noStrike" baseline="0">
                <a:solidFill>
                  <a:srgbClr val="000000"/>
                </a:solidFill>
                <a:latin typeface="Times New Roman CE"/>
                <a:ea typeface="Times New Roman CE"/>
                <a:cs typeface="Times New Roman CE"/>
              </a:defRPr>
            </a:pPr>
            <a:r>
              <a:rPr lang="cs-CZ" sz="1100" b="0" i="0" u="none" strike="noStrike" baseline="0">
                <a:solidFill>
                  <a:srgbClr val="000000"/>
                </a:solidFill>
                <a:latin typeface="Times New Roman" panose="02020603050405020304" pitchFamily="18" charset="0"/>
                <a:cs typeface="Times New Roman" panose="02020603050405020304" pitchFamily="18" charset="0"/>
              </a:rPr>
              <a:t>- podle pohlaví</a:t>
            </a:r>
          </a:p>
        </c:rich>
      </c:tx>
      <c:layout>
        <c:manualLayout>
          <c:xMode val="edge"/>
          <c:yMode val="edge"/>
          <c:x val="0.25469108619524899"/>
          <c:y val="2.8011204481792701E-2"/>
        </c:manualLayout>
      </c:layout>
      <c:overlay val="0"/>
      <c:spPr>
        <a:noFill/>
        <a:ln w="25387">
          <a:noFill/>
        </a:ln>
      </c:spPr>
    </c:title>
    <c:autoTitleDeleted val="0"/>
    <c:view3D>
      <c:rotX val="10"/>
      <c:hPercent val="43"/>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082644628099199"/>
          <c:y val="0.210242587601078"/>
          <c:w val="0.87107438016529004"/>
          <c:h val="0.59299191374663096"/>
        </c:manualLayout>
      </c:layout>
      <c:bar3DChart>
        <c:barDir val="col"/>
        <c:grouping val="stacked"/>
        <c:varyColors val="0"/>
        <c:ser>
          <c:idx val="0"/>
          <c:order val="0"/>
          <c:tx>
            <c:strRef>
              <c:f>Sheet1!$B$1</c:f>
              <c:strCache>
                <c:ptCount val="1"/>
                <c:pt idx="0">
                  <c:v>Ano</c:v>
                </c:pt>
              </c:strCache>
            </c:strRef>
          </c:tx>
          <c:spPr>
            <a:solidFill>
              <a:srgbClr val="FF0000"/>
            </a:solidFill>
            <a:ln w="12693">
              <a:solidFill>
                <a:srgbClr val="000000"/>
              </a:solidFill>
              <a:prstDash val="solid"/>
            </a:ln>
          </c:spPr>
          <c:invertIfNegative val="0"/>
          <c:dLbls>
            <c:dLbl>
              <c:idx val="0"/>
              <c:layout>
                <c:manualLayout>
                  <c:x val="4.2156846285219601E-3"/>
                  <c:y val="-9.403067471035510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7960195507959899E-3"/>
                  <c:y val="-7.2030335795863496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Mode val="edge"/>
                  <c:yMode val="edge"/>
                  <c:x val="0.65123966942148803"/>
                  <c:y val="0.6630727762803240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Mode val="edge"/>
                  <c:yMode val="edge"/>
                  <c:x val="0.85123966942148799"/>
                  <c:y val="0.65768194070080899"/>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61322314049586801"/>
                  <c:y val="0.80862533692722405"/>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72727272727272696"/>
                  <c:y val="0.82479784366576903"/>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387">
                <a:noFill/>
              </a:ln>
            </c:spPr>
            <c:txPr>
              <a:bodyPr/>
              <a:lstStyle/>
              <a:p>
                <a:pPr algn="r">
                  <a:defRPr sz="999"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Sheet1!$B$2:$B$3</c:f>
              <c:numCache>
                <c:formatCode>General</c:formatCode>
                <c:ptCount val="2"/>
                <c:pt idx="0" formatCode="0">
                  <c:v>94</c:v>
                </c:pt>
                <c:pt idx="1">
                  <c:v>90</c:v>
                </c:pt>
              </c:numCache>
            </c:numRef>
          </c:val>
        </c:ser>
        <c:ser>
          <c:idx val="1"/>
          <c:order val="1"/>
          <c:tx>
            <c:strRef>
              <c:f>Sheet1!$C$1</c:f>
              <c:strCache>
                <c:ptCount val="1"/>
                <c:pt idx="0">
                  <c:v>Ne</c:v>
                </c:pt>
              </c:strCache>
            </c:strRef>
          </c:tx>
          <c:spPr>
            <a:solidFill>
              <a:srgbClr val="00CCFF"/>
            </a:solidFill>
            <a:ln w="12693">
              <a:solidFill>
                <a:srgbClr val="000000"/>
              </a:solidFill>
              <a:prstDash val="solid"/>
            </a:ln>
          </c:spPr>
          <c:invertIfNegative val="0"/>
          <c:dLbls>
            <c:dLbl>
              <c:idx val="0"/>
              <c:layout>
                <c:manualLayout>
                  <c:x val="5.8685771905054402E-3"/>
                  <c:y val="-4.20086618919386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1431269888125696E-3"/>
                  <c:y val="-1.008708566701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Mode val="edge"/>
                  <c:yMode val="edge"/>
                  <c:x val="0.65619834710743796"/>
                  <c:y val="0.41509433962264197"/>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dLbl>
              <c:idx val="3"/>
              <c:layout>
                <c:manualLayout>
                  <c:xMode val="edge"/>
                  <c:yMode val="edge"/>
                  <c:x val="0.85123966942148799"/>
                  <c:y val="0.40431266846361202"/>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61322314049586801"/>
                  <c:y val="0.64420485175202202"/>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72727272727272696"/>
                  <c:y val="0.70619946091644203"/>
                </c:manualLayout>
              </c:layout>
              <c:spPr>
                <a:solidFill>
                  <a:srgbClr val="FFFFFF"/>
                </a:solidFill>
                <a:ln w="25387">
                  <a:noFill/>
                </a:ln>
              </c:spPr>
              <c:txPr>
                <a:bodyPr/>
                <a:lstStyle/>
                <a:p>
                  <a:pPr>
                    <a:defRPr sz="974"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387">
                <a:noFill/>
              </a:ln>
            </c:spPr>
            <c:txPr>
              <a:bodyPr/>
              <a:lstStyle/>
              <a:p>
                <a:pPr>
                  <a:defRPr sz="999"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Muži</c:v>
                </c:pt>
                <c:pt idx="1">
                  <c:v>Ženy</c:v>
                </c:pt>
              </c:strCache>
            </c:strRef>
          </c:cat>
          <c:val>
            <c:numRef>
              <c:f>Sheet1!$C$2:$C$3</c:f>
              <c:numCache>
                <c:formatCode>General</c:formatCode>
                <c:ptCount val="2"/>
                <c:pt idx="0">
                  <c:v>6</c:v>
                </c:pt>
                <c:pt idx="1">
                  <c:v>10</c:v>
                </c:pt>
              </c:numCache>
            </c:numRef>
          </c:val>
        </c:ser>
        <c:dLbls>
          <c:showLegendKey val="0"/>
          <c:showVal val="1"/>
          <c:showCatName val="0"/>
          <c:showSerName val="0"/>
          <c:showPercent val="0"/>
          <c:showBubbleSize val="0"/>
        </c:dLbls>
        <c:gapWidth val="150"/>
        <c:shape val="box"/>
        <c:axId val="117876224"/>
        <c:axId val="117877760"/>
        <c:axId val="0"/>
      </c:bar3DChart>
      <c:catAx>
        <c:axId val="117876224"/>
        <c:scaling>
          <c:orientation val="minMax"/>
        </c:scaling>
        <c:delete val="0"/>
        <c:axPos val="b"/>
        <c:numFmt formatCode="General" sourceLinked="1"/>
        <c:majorTickMark val="out"/>
        <c:minorTickMark val="none"/>
        <c:tickLblPos val="low"/>
        <c:spPr>
          <a:ln w="3173">
            <a:solidFill>
              <a:srgbClr val="000000"/>
            </a:solidFill>
            <a:prstDash val="solid"/>
          </a:ln>
        </c:spPr>
        <c:txPr>
          <a:bodyPr rot="0" vert="horz"/>
          <a:lstStyle/>
          <a:p>
            <a:pPr>
              <a:defRPr sz="1199" b="0" i="0" u="none" strike="noStrike" baseline="0">
                <a:solidFill>
                  <a:srgbClr val="000000"/>
                </a:solidFill>
                <a:latin typeface="Times New Roman CE"/>
                <a:ea typeface="Times New Roman CE"/>
                <a:cs typeface="Times New Roman CE"/>
              </a:defRPr>
            </a:pPr>
            <a:endParaRPr lang="cs-CZ"/>
          </a:p>
        </c:txPr>
        <c:crossAx val="117877760"/>
        <c:crosses val="autoZero"/>
        <c:auto val="1"/>
        <c:lblAlgn val="ctr"/>
        <c:lblOffset val="100"/>
        <c:tickLblSkip val="1"/>
        <c:tickMarkSkip val="1"/>
        <c:noMultiLvlLbl val="0"/>
      </c:catAx>
      <c:valAx>
        <c:axId val="117877760"/>
        <c:scaling>
          <c:orientation val="minMax"/>
          <c:max val="100"/>
          <c:min val="0"/>
        </c:scaling>
        <c:delete val="0"/>
        <c:axPos val="l"/>
        <c:title>
          <c:tx>
            <c:rich>
              <a:bodyPr rot="0" vert="horz"/>
              <a:lstStyle/>
              <a:p>
                <a:pPr algn="ctr">
                  <a:defRPr sz="1199"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8.2644628099173608E-3"/>
              <c:y val="0.42857142857142899"/>
            </c:manualLayout>
          </c:layout>
          <c:overlay val="0"/>
          <c:spPr>
            <a:noFill/>
            <a:ln w="25387">
              <a:noFill/>
            </a:ln>
          </c:spPr>
        </c:title>
        <c:numFmt formatCode="0" sourceLinked="1"/>
        <c:majorTickMark val="out"/>
        <c:minorTickMark val="none"/>
        <c:tickLblPos val="nextTo"/>
        <c:spPr>
          <a:ln w="3173">
            <a:solidFill>
              <a:srgbClr val="000000"/>
            </a:solidFill>
            <a:prstDash val="solid"/>
          </a:ln>
        </c:spPr>
        <c:txPr>
          <a:bodyPr rot="0" vert="horz"/>
          <a:lstStyle/>
          <a:p>
            <a:pPr>
              <a:defRPr sz="1199" b="0" i="0" u="none" strike="noStrike" baseline="0">
                <a:solidFill>
                  <a:srgbClr val="000000"/>
                </a:solidFill>
                <a:latin typeface="Times New Roman CE"/>
                <a:ea typeface="Times New Roman CE"/>
                <a:cs typeface="Times New Roman CE"/>
              </a:defRPr>
            </a:pPr>
            <a:endParaRPr lang="cs-CZ"/>
          </a:p>
        </c:txPr>
        <c:crossAx val="117876224"/>
        <c:crosses val="autoZero"/>
        <c:crossBetween val="between"/>
        <c:majorUnit val="20"/>
      </c:valAx>
      <c:spPr>
        <a:noFill/>
        <a:ln w="25387">
          <a:noFill/>
        </a:ln>
      </c:spPr>
    </c:plotArea>
    <c:legend>
      <c:legendPos val="b"/>
      <c:layout>
        <c:manualLayout>
          <c:xMode val="edge"/>
          <c:yMode val="edge"/>
          <c:x val="0.25454545454545402"/>
          <c:y val="0.91374663072776197"/>
          <c:w val="0.50082644628099204"/>
          <c:h val="7.54716981132076E-2"/>
        </c:manualLayout>
      </c:layout>
      <c:overlay val="0"/>
      <c:spPr>
        <a:noFill/>
        <a:ln w="3173">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199"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CFAE9-2D7D-4308-952B-48C54656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3147</Words>
  <Characters>18571</Characters>
  <Application>Microsoft Office Word</Application>
  <DocSecurity>4</DocSecurity>
  <Lines>154</Lines>
  <Paragraphs>43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STEM -  Středisko empirických výzkumů, Sabinova 3, 130 02 Praha 3</vt:lpstr>
      <vt:lpstr>STEM -  Středisko empirických výzkumů, Sabinova 3, 130 02 Praha 3</vt:lpstr>
    </vt:vector>
  </TitlesOfParts>
  <Company>Stem</Company>
  <LinksUpToDate>false</LinksUpToDate>
  <CharactersWithSpaces>21675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STEM -  Středisko empirických výzkumů, Sabinova 3, 130 02 Praha 3</dc:title>
  <dc:creator>kovarik</dc:creator>
  <cp:lastModifiedBy>Štěpanyová Gabriela Ing.</cp:lastModifiedBy>
  <cp:revision>2</cp:revision>
  <cp:lastPrinted>2016-05-19T07:33:00Z</cp:lastPrinted>
  <dcterms:created xsi:type="dcterms:W3CDTF">2016-05-20T08:58:00Z</dcterms:created>
  <dcterms:modified xsi:type="dcterms:W3CDTF">2016-05-20T08:58:00Z</dcterms:modified>
</cp:coreProperties>
</file>