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94C" w:rsidRPr="0047484F" w:rsidRDefault="00DB7AB6" w:rsidP="0042294C">
      <w:pPr>
        <w:pStyle w:val="Zkladntext"/>
        <w:spacing w:after="120"/>
        <w:ind w:left="142"/>
        <w:jc w:val="center"/>
        <w:rPr>
          <w:b/>
          <w:i w:val="0"/>
          <w:smallCaps/>
          <w:sz w:val="32"/>
          <w:szCs w:val="32"/>
        </w:rPr>
      </w:pPr>
      <w:bookmarkStart w:id="0" w:name="_GoBack"/>
      <w:bookmarkEnd w:id="0"/>
      <w:r>
        <w:rPr>
          <w:b/>
          <w:i w:val="0"/>
          <w:smallCaps/>
          <w:sz w:val="32"/>
          <w:szCs w:val="32"/>
        </w:rPr>
        <w:t>Téměř d</w:t>
      </w:r>
      <w:r w:rsidR="0042294C">
        <w:rPr>
          <w:b/>
          <w:i w:val="0"/>
          <w:smallCaps/>
          <w:sz w:val="32"/>
          <w:szCs w:val="32"/>
        </w:rPr>
        <w:t>vě třetiny v</w:t>
      </w:r>
      <w:r w:rsidR="00385423" w:rsidRPr="0047484F">
        <w:rPr>
          <w:b/>
          <w:i w:val="0"/>
          <w:smallCaps/>
          <w:sz w:val="32"/>
          <w:szCs w:val="32"/>
        </w:rPr>
        <w:t>eřejnost</w:t>
      </w:r>
      <w:r w:rsidR="0042294C">
        <w:rPr>
          <w:b/>
          <w:i w:val="0"/>
          <w:smallCaps/>
          <w:sz w:val="32"/>
          <w:szCs w:val="32"/>
        </w:rPr>
        <w:t>i považují zavedení elektronické evidence tržeb za pozitivní opatření</w:t>
      </w:r>
    </w:p>
    <w:p w:rsidR="0042294C" w:rsidRDefault="0042294C" w:rsidP="00C6707E">
      <w:pPr>
        <w:pStyle w:val="Zkladntext"/>
        <w:ind w:left="142"/>
        <w:rPr>
          <w:sz w:val="24"/>
          <w:szCs w:val="24"/>
        </w:rPr>
      </w:pPr>
    </w:p>
    <w:p w:rsidR="00E774BC" w:rsidRDefault="00385423" w:rsidP="00F519E4">
      <w:pPr>
        <w:pStyle w:val="Zkladntext"/>
        <w:spacing w:after="360"/>
        <w:ind w:left="142"/>
        <w:rPr>
          <w:sz w:val="24"/>
          <w:szCs w:val="24"/>
        </w:rPr>
      </w:pPr>
      <w:r w:rsidRPr="00F224CF">
        <w:rPr>
          <w:sz w:val="24"/>
          <w:szCs w:val="24"/>
        </w:rPr>
        <w:t xml:space="preserve">Ve dnech </w:t>
      </w:r>
      <w:r w:rsidR="0030665B">
        <w:rPr>
          <w:sz w:val="24"/>
          <w:szCs w:val="24"/>
        </w:rPr>
        <w:t>14</w:t>
      </w:r>
      <w:r w:rsidR="00293CF5">
        <w:rPr>
          <w:sz w:val="24"/>
          <w:szCs w:val="24"/>
        </w:rPr>
        <w:t>.</w:t>
      </w:r>
      <w:r w:rsidR="00E774BC">
        <w:rPr>
          <w:sz w:val="24"/>
          <w:szCs w:val="24"/>
        </w:rPr>
        <w:t xml:space="preserve"> </w:t>
      </w:r>
      <w:r w:rsidRPr="00F224CF">
        <w:rPr>
          <w:sz w:val="24"/>
          <w:szCs w:val="24"/>
        </w:rPr>
        <w:t>-</w:t>
      </w:r>
      <w:r w:rsidR="00E774BC">
        <w:rPr>
          <w:sz w:val="24"/>
          <w:szCs w:val="24"/>
        </w:rPr>
        <w:t xml:space="preserve"> 1</w:t>
      </w:r>
      <w:r w:rsidR="0030665B">
        <w:rPr>
          <w:sz w:val="24"/>
          <w:szCs w:val="24"/>
        </w:rPr>
        <w:t>9</w:t>
      </w:r>
      <w:r w:rsidRPr="00F224CF">
        <w:rPr>
          <w:sz w:val="24"/>
          <w:szCs w:val="24"/>
        </w:rPr>
        <w:t>.</w:t>
      </w:r>
      <w:r w:rsidR="00E774BC">
        <w:rPr>
          <w:sz w:val="24"/>
          <w:szCs w:val="24"/>
        </w:rPr>
        <w:t xml:space="preserve"> </w:t>
      </w:r>
      <w:r w:rsidR="0030665B">
        <w:rPr>
          <w:sz w:val="24"/>
          <w:szCs w:val="24"/>
        </w:rPr>
        <w:t>12</w:t>
      </w:r>
      <w:r w:rsidR="00E774BC">
        <w:rPr>
          <w:sz w:val="24"/>
          <w:szCs w:val="24"/>
        </w:rPr>
        <w:t>.</w:t>
      </w:r>
      <w:r w:rsidRPr="00F224CF">
        <w:rPr>
          <w:sz w:val="24"/>
          <w:szCs w:val="24"/>
        </w:rPr>
        <w:t xml:space="preserve"> 201</w:t>
      </w:r>
      <w:r w:rsidR="00E774BC">
        <w:rPr>
          <w:sz w:val="24"/>
          <w:szCs w:val="24"/>
        </w:rPr>
        <w:t>6</w:t>
      </w:r>
      <w:r w:rsidRPr="00F224CF">
        <w:rPr>
          <w:sz w:val="24"/>
          <w:szCs w:val="24"/>
        </w:rPr>
        <w:t xml:space="preserve"> </w:t>
      </w:r>
      <w:r w:rsidRPr="001D5299">
        <w:rPr>
          <w:b/>
          <w:sz w:val="24"/>
          <w:szCs w:val="24"/>
        </w:rPr>
        <w:t>STEM</w:t>
      </w:r>
      <w:r w:rsidRPr="00F224CF">
        <w:rPr>
          <w:sz w:val="24"/>
          <w:szCs w:val="24"/>
        </w:rPr>
        <w:t xml:space="preserve"> provedl pro </w:t>
      </w:r>
      <w:r>
        <w:rPr>
          <w:sz w:val="24"/>
          <w:szCs w:val="24"/>
        </w:rPr>
        <w:t>Generální</w:t>
      </w:r>
      <w:r w:rsidRPr="00F224CF">
        <w:rPr>
          <w:sz w:val="24"/>
          <w:szCs w:val="24"/>
        </w:rPr>
        <w:t xml:space="preserve"> finanční</w:t>
      </w:r>
      <w:r>
        <w:rPr>
          <w:sz w:val="24"/>
          <w:szCs w:val="24"/>
        </w:rPr>
        <w:t xml:space="preserve"> ředitelství</w:t>
      </w:r>
      <w:r w:rsidRPr="00F224CF">
        <w:rPr>
          <w:sz w:val="24"/>
          <w:szCs w:val="24"/>
        </w:rPr>
        <w:t xml:space="preserve"> bleskový výzkum, který se zaměřil na názory </w:t>
      </w:r>
      <w:r w:rsidR="003B561B">
        <w:rPr>
          <w:sz w:val="24"/>
          <w:szCs w:val="24"/>
        </w:rPr>
        <w:t>veřejnosti</w:t>
      </w:r>
      <w:r w:rsidRPr="00F224CF">
        <w:rPr>
          <w:sz w:val="24"/>
          <w:szCs w:val="24"/>
        </w:rPr>
        <w:t xml:space="preserve"> na elektronickou evidenci tržeb. Reprezentativní soubor obyvatel ČR starších 18 let byl zkoumán kombinací technik CATI a CAW</w:t>
      </w:r>
      <w:r>
        <w:rPr>
          <w:sz w:val="24"/>
          <w:szCs w:val="24"/>
        </w:rPr>
        <w:t>I</w:t>
      </w:r>
      <w:r w:rsidRPr="00F224CF">
        <w:rPr>
          <w:sz w:val="24"/>
          <w:szCs w:val="24"/>
        </w:rPr>
        <w:t xml:space="preserve">. </w:t>
      </w:r>
      <w:r w:rsidR="00E774BC">
        <w:rPr>
          <w:sz w:val="24"/>
          <w:szCs w:val="24"/>
        </w:rPr>
        <w:t>Dotázáno bylo 100</w:t>
      </w:r>
      <w:r w:rsidR="0030665B">
        <w:rPr>
          <w:sz w:val="24"/>
          <w:szCs w:val="24"/>
        </w:rPr>
        <w:t>4</w:t>
      </w:r>
      <w:r w:rsidR="00E774BC">
        <w:rPr>
          <w:sz w:val="24"/>
          <w:szCs w:val="24"/>
        </w:rPr>
        <w:t xml:space="preserve"> osob starších 18 let. Statistická chyba činí plus minus 3 procentní body při rozložení odpovědí 60:40 v celém výběrovém souboru.</w:t>
      </w:r>
    </w:p>
    <w:p w:rsidR="00E774BC" w:rsidRDefault="00DB7AB6" w:rsidP="00F519E4">
      <w:pPr>
        <w:pStyle w:val="Zkladntext"/>
        <w:spacing w:before="240" w:after="120" w:line="36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S</w:t>
      </w:r>
      <w:r w:rsidR="00385423" w:rsidRPr="00F224CF">
        <w:rPr>
          <w:i w:val="0"/>
          <w:sz w:val="24"/>
          <w:szCs w:val="24"/>
        </w:rPr>
        <w:t xml:space="preserve">ociologický výzkum, který STEM vypracoval </w:t>
      </w:r>
      <w:r>
        <w:rPr>
          <w:i w:val="0"/>
          <w:sz w:val="24"/>
          <w:szCs w:val="24"/>
        </w:rPr>
        <w:t xml:space="preserve">v prosinci 2016 </w:t>
      </w:r>
      <w:r w:rsidR="00385423" w:rsidRPr="00F224CF">
        <w:rPr>
          <w:i w:val="0"/>
          <w:sz w:val="24"/>
          <w:szCs w:val="24"/>
        </w:rPr>
        <w:t>na základě zadání</w:t>
      </w:r>
      <w:r w:rsidR="00385423">
        <w:rPr>
          <w:i w:val="0"/>
          <w:sz w:val="24"/>
          <w:szCs w:val="24"/>
        </w:rPr>
        <w:t xml:space="preserve"> Generálního finančního ředitelství</w:t>
      </w:r>
      <w:r w:rsidR="00385423" w:rsidRPr="00F224CF">
        <w:rPr>
          <w:i w:val="0"/>
          <w:sz w:val="24"/>
          <w:szCs w:val="24"/>
        </w:rPr>
        <w:t xml:space="preserve">, </w:t>
      </w:r>
      <w:r w:rsidR="00E774BC">
        <w:rPr>
          <w:i w:val="0"/>
          <w:sz w:val="24"/>
          <w:szCs w:val="24"/>
        </w:rPr>
        <w:t>zjišťoval</w:t>
      </w:r>
      <w:r w:rsidR="00385423" w:rsidRPr="00F224CF">
        <w:rPr>
          <w:i w:val="0"/>
          <w:sz w:val="24"/>
          <w:szCs w:val="24"/>
        </w:rPr>
        <w:t xml:space="preserve"> názory na elektronickou evidenci tržeb. </w:t>
      </w:r>
      <w:r w:rsidR="009F362C">
        <w:rPr>
          <w:i w:val="0"/>
          <w:sz w:val="24"/>
          <w:szCs w:val="24"/>
        </w:rPr>
        <w:t>Výsledky tohoto průzkumu je možné porovnat s průzkum</w:t>
      </w:r>
      <w:r w:rsidR="007B33FB">
        <w:rPr>
          <w:i w:val="0"/>
          <w:sz w:val="24"/>
          <w:szCs w:val="24"/>
        </w:rPr>
        <w:t>y</w:t>
      </w:r>
      <w:r w:rsidR="009F362C">
        <w:rPr>
          <w:i w:val="0"/>
          <w:sz w:val="24"/>
          <w:szCs w:val="24"/>
        </w:rPr>
        <w:t>, kter</w:t>
      </w:r>
      <w:r w:rsidR="00C6707E">
        <w:rPr>
          <w:i w:val="0"/>
          <w:sz w:val="24"/>
          <w:szCs w:val="24"/>
        </w:rPr>
        <w:t>é</w:t>
      </w:r>
      <w:r w:rsidR="009F362C">
        <w:rPr>
          <w:i w:val="0"/>
          <w:sz w:val="24"/>
          <w:szCs w:val="24"/>
        </w:rPr>
        <w:t xml:space="preserve"> na totožné téma STEM uskutečnil v květnu 2016</w:t>
      </w:r>
      <w:r w:rsidR="007B33FB">
        <w:rPr>
          <w:i w:val="0"/>
          <w:sz w:val="24"/>
          <w:szCs w:val="24"/>
        </w:rPr>
        <w:t xml:space="preserve"> a červnu 2015</w:t>
      </w:r>
      <w:r w:rsidR="009F362C">
        <w:rPr>
          <w:i w:val="0"/>
          <w:sz w:val="24"/>
          <w:szCs w:val="24"/>
        </w:rPr>
        <w:t>.</w:t>
      </w:r>
    </w:p>
    <w:p w:rsidR="00E774BC" w:rsidRDefault="00E774BC" w:rsidP="00F519E4">
      <w:pPr>
        <w:pStyle w:val="Zkladntext"/>
        <w:spacing w:before="120" w:after="240" w:line="36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Téměř dvoutřetinová většina občanů považuje zavedení elektronické evidence tržeb za pozitivní opatření. </w:t>
      </w:r>
      <w:r w:rsidR="00A97A9B">
        <w:rPr>
          <w:i w:val="0"/>
          <w:sz w:val="24"/>
          <w:szCs w:val="24"/>
        </w:rPr>
        <w:t>Tento názor se i přes kriti</w:t>
      </w:r>
      <w:r w:rsidR="00F519E4">
        <w:rPr>
          <w:i w:val="0"/>
          <w:sz w:val="24"/>
          <w:szCs w:val="24"/>
        </w:rPr>
        <w:t xml:space="preserve">ku v médiích a ze strany opozice </w:t>
      </w:r>
      <w:r w:rsidR="00A97A9B">
        <w:rPr>
          <w:i w:val="0"/>
          <w:sz w:val="24"/>
          <w:szCs w:val="24"/>
        </w:rPr>
        <w:t xml:space="preserve">v čase nemění. </w:t>
      </w:r>
      <w:r>
        <w:rPr>
          <w:i w:val="0"/>
          <w:sz w:val="24"/>
          <w:szCs w:val="24"/>
        </w:rPr>
        <w:t xml:space="preserve">Mezi </w:t>
      </w:r>
      <w:r w:rsidR="009F362C">
        <w:rPr>
          <w:i w:val="0"/>
          <w:sz w:val="24"/>
          <w:szCs w:val="24"/>
        </w:rPr>
        <w:t>stoupenci</w:t>
      </w:r>
      <w:r>
        <w:rPr>
          <w:i w:val="0"/>
          <w:sz w:val="24"/>
          <w:szCs w:val="24"/>
        </w:rPr>
        <w:t xml:space="preserve"> </w:t>
      </w:r>
      <w:r w:rsidR="009F362C">
        <w:rPr>
          <w:i w:val="0"/>
          <w:sz w:val="24"/>
          <w:szCs w:val="24"/>
        </w:rPr>
        <w:t>vládní</w:t>
      </w:r>
      <w:r>
        <w:rPr>
          <w:i w:val="0"/>
          <w:sz w:val="24"/>
          <w:szCs w:val="24"/>
        </w:rPr>
        <w:t>ch koaličních stran</w:t>
      </w:r>
      <w:r w:rsidR="009F362C">
        <w:rPr>
          <w:i w:val="0"/>
          <w:sz w:val="24"/>
          <w:szCs w:val="24"/>
        </w:rPr>
        <w:t xml:space="preserve"> ANO a ČSSD</w:t>
      </w:r>
      <w:r>
        <w:rPr>
          <w:i w:val="0"/>
          <w:sz w:val="24"/>
          <w:szCs w:val="24"/>
        </w:rPr>
        <w:t xml:space="preserve"> je podpora jednoznačná</w:t>
      </w:r>
      <w:r w:rsidR="009F362C">
        <w:rPr>
          <w:i w:val="0"/>
          <w:sz w:val="24"/>
          <w:szCs w:val="24"/>
        </w:rPr>
        <w:t xml:space="preserve">, </w:t>
      </w:r>
      <w:r w:rsidR="009F362C">
        <w:rPr>
          <w:i w:val="0"/>
          <w:sz w:val="24"/>
          <w:szCs w:val="24"/>
        </w:rPr>
        <w:br/>
        <w:t xml:space="preserve">u příznivců KDU-ČSL mírně nadpoloviční. Mezi </w:t>
      </w:r>
      <w:r>
        <w:rPr>
          <w:i w:val="0"/>
          <w:sz w:val="24"/>
          <w:szCs w:val="24"/>
        </w:rPr>
        <w:t>sympatizanty ODS</w:t>
      </w:r>
      <w:r w:rsidR="009F362C">
        <w:rPr>
          <w:i w:val="0"/>
          <w:sz w:val="24"/>
          <w:szCs w:val="24"/>
        </w:rPr>
        <w:t>,</w:t>
      </w:r>
      <w:r>
        <w:rPr>
          <w:i w:val="0"/>
          <w:sz w:val="24"/>
          <w:szCs w:val="24"/>
        </w:rPr>
        <w:t xml:space="preserve"> TOP 09</w:t>
      </w:r>
      <w:r w:rsidR="009F362C">
        <w:rPr>
          <w:i w:val="0"/>
          <w:sz w:val="24"/>
          <w:szCs w:val="24"/>
        </w:rPr>
        <w:t xml:space="preserve"> a STAN</w:t>
      </w:r>
      <w:r>
        <w:rPr>
          <w:i w:val="0"/>
          <w:sz w:val="24"/>
          <w:szCs w:val="24"/>
        </w:rPr>
        <w:t xml:space="preserve"> j</w:t>
      </w:r>
      <w:r w:rsidR="009F362C">
        <w:rPr>
          <w:i w:val="0"/>
          <w:sz w:val="24"/>
          <w:szCs w:val="24"/>
        </w:rPr>
        <w:t xml:space="preserve">sou zhruba dvě pětiny </w:t>
      </w:r>
      <w:r>
        <w:rPr>
          <w:i w:val="0"/>
          <w:sz w:val="24"/>
          <w:szCs w:val="24"/>
        </w:rPr>
        <w:t>těch, kteří EET označují za pozitivní opatření.</w:t>
      </w:r>
    </w:p>
    <w:p w:rsidR="00E774BC" w:rsidRDefault="00E774BC" w:rsidP="00E774BC">
      <w:pPr>
        <w:pStyle w:val="Zkladntext3"/>
        <w:spacing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E774BC">
        <w:rPr>
          <w:rFonts w:ascii="Times New Roman" w:hAnsi="Times New Roman"/>
          <w:bCs/>
          <w:i/>
          <w:sz w:val="24"/>
          <w:szCs w:val="24"/>
        </w:rPr>
        <w:t xml:space="preserve">„Když zvážíte všechny okolnosti pro a proti elektronické evidence tržeb, </w:t>
      </w:r>
      <w:r w:rsidRPr="00E774BC">
        <w:rPr>
          <w:rFonts w:ascii="Times New Roman" w:hAnsi="Times New Roman"/>
          <w:bCs/>
          <w:i/>
          <w:sz w:val="24"/>
          <w:szCs w:val="24"/>
        </w:rPr>
        <w:br/>
        <w:t>je její zavedení podle Vás:“</w:t>
      </w:r>
    </w:p>
    <w:p w:rsidR="009F362C" w:rsidRPr="00E774BC" w:rsidRDefault="009F362C" w:rsidP="00E774BC">
      <w:pPr>
        <w:pStyle w:val="Zkladntext3"/>
        <w:spacing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9F362C">
        <w:rPr>
          <w:rFonts w:ascii="Times New Roman" w:hAnsi="Times New Roman"/>
          <w:b/>
          <w:bCs/>
          <w:i/>
          <w:iCs/>
          <w:noProof/>
          <w:sz w:val="24"/>
          <w:szCs w:val="24"/>
          <w:lang w:eastAsia="cs-CZ"/>
        </w:rPr>
        <w:drawing>
          <wp:inline distT="0" distB="0" distL="0" distR="0" wp14:anchorId="757E5424" wp14:editId="0A6EEC0E">
            <wp:extent cx="5832181" cy="2504995"/>
            <wp:effectExtent l="0" t="0" r="0" b="0"/>
            <wp:docPr id="1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D5617" w:rsidRDefault="005D5617" w:rsidP="005D5617">
      <w:pPr>
        <w:pStyle w:val="Zkladntext"/>
        <w:spacing w:after="240" w:line="360" w:lineRule="auto"/>
        <w:rPr>
          <w:i w:val="0"/>
          <w:sz w:val="24"/>
          <w:szCs w:val="24"/>
        </w:rPr>
      </w:pPr>
    </w:p>
    <w:p w:rsidR="005D5617" w:rsidRPr="003B561B" w:rsidRDefault="005D5617" w:rsidP="005D5617">
      <w:pPr>
        <w:pStyle w:val="Zkladntext"/>
        <w:spacing w:after="240" w:line="360" w:lineRule="auto"/>
        <w:rPr>
          <w:i w:val="0"/>
          <w:sz w:val="24"/>
          <w:szCs w:val="24"/>
        </w:rPr>
      </w:pPr>
      <w:r w:rsidRPr="003B561B">
        <w:rPr>
          <w:i w:val="0"/>
          <w:sz w:val="24"/>
          <w:szCs w:val="24"/>
        </w:rPr>
        <w:t>Posiluje očekávání, že díky zavedení elektronické evidence tržeb se obecně zlepší podnikatelské prostředí. Nyní narovnání podnikatelského prostředí čeká více než polovina občanů (55 %). Oproti květnu došlo ke zvýšení pozitivních názorů o sedm procentních bodů.</w:t>
      </w:r>
    </w:p>
    <w:p w:rsidR="005D5617" w:rsidRDefault="005D5617" w:rsidP="005D5617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5D5617" w:rsidRPr="0030665B" w:rsidRDefault="005D5617" w:rsidP="005D5617">
      <w:pPr>
        <w:pStyle w:val="Zkladntext3"/>
        <w:spacing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30665B">
        <w:rPr>
          <w:rFonts w:ascii="Times New Roman" w:hAnsi="Times New Roman"/>
          <w:bCs/>
          <w:i/>
          <w:sz w:val="24"/>
          <w:szCs w:val="24"/>
        </w:rPr>
        <w:lastRenderedPageBreak/>
        <w:t xml:space="preserve">„Myslíte si, že zavedení elektronické evidence tržeb postupně přispěje </w:t>
      </w:r>
      <w:r w:rsidRPr="0030665B">
        <w:rPr>
          <w:rFonts w:ascii="Times New Roman" w:hAnsi="Times New Roman"/>
          <w:bCs/>
          <w:i/>
          <w:sz w:val="24"/>
          <w:szCs w:val="24"/>
        </w:rPr>
        <w:br/>
        <w:t xml:space="preserve">k narovnání </w:t>
      </w:r>
      <w:r w:rsidRPr="0030665B">
        <w:rPr>
          <w:rFonts w:ascii="Times New Roman" w:hAnsi="Times New Roman"/>
          <w:bCs/>
          <w:i/>
          <w:sz w:val="24"/>
          <w:szCs w:val="24"/>
          <w:u w:val="single"/>
        </w:rPr>
        <w:t>podnikatelského prostředí</w:t>
      </w:r>
      <w:r w:rsidRPr="0030665B">
        <w:rPr>
          <w:rFonts w:ascii="Times New Roman" w:hAnsi="Times New Roman"/>
          <w:bCs/>
          <w:i/>
          <w:sz w:val="24"/>
          <w:szCs w:val="24"/>
        </w:rPr>
        <w:t xml:space="preserve"> v ČR?“</w:t>
      </w:r>
    </w:p>
    <w:p w:rsidR="005D5617" w:rsidRDefault="005D5617" w:rsidP="005D5617">
      <w:pPr>
        <w:pStyle w:val="Zkladntext"/>
        <w:spacing w:after="240" w:line="288" w:lineRule="auto"/>
        <w:rPr>
          <w:i w:val="0"/>
          <w:sz w:val="24"/>
          <w:szCs w:val="24"/>
        </w:rPr>
      </w:pPr>
      <w:r w:rsidRPr="0030665B">
        <w:rPr>
          <w:i w:val="0"/>
          <w:noProof/>
          <w:sz w:val="24"/>
          <w:szCs w:val="24"/>
        </w:rPr>
        <w:drawing>
          <wp:inline distT="0" distB="0" distL="0" distR="0" wp14:anchorId="2175828A" wp14:editId="341D9F82">
            <wp:extent cx="5831840" cy="2773937"/>
            <wp:effectExtent l="0" t="0" r="0" b="0"/>
            <wp:docPr id="3" name="Graf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D5617" w:rsidRDefault="005D5617" w:rsidP="005D5617">
      <w:pPr>
        <w:pStyle w:val="Zkladntext"/>
        <w:spacing w:after="240" w:line="36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Názory se velmi liší v táborech politických stran. </w:t>
      </w:r>
      <w:r w:rsidRPr="001B1385">
        <w:rPr>
          <w:i w:val="0"/>
          <w:sz w:val="24"/>
          <w:szCs w:val="24"/>
        </w:rPr>
        <w:t>Jasná podpora je u příznivců ANO, k nim nejblíže mají sympatizanti ČSSD.</w:t>
      </w:r>
    </w:p>
    <w:p w:rsidR="005D5617" w:rsidRPr="0030665B" w:rsidRDefault="005D5617" w:rsidP="005D5617">
      <w:pPr>
        <w:pStyle w:val="Zkladntext3"/>
        <w:spacing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30665B">
        <w:rPr>
          <w:rFonts w:ascii="Times New Roman" w:hAnsi="Times New Roman"/>
          <w:bCs/>
          <w:i/>
          <w:sz w:val="24"/>
          <w:szCs w:val="24"/>
        </w:rPr>
        <w:t xml:space="preserve">„Myslíte si, že zavedení elektronické evidence tržeb postupně přispěje </w:t>
      </w:r>
      <w:r w:rsidRPr="0030665B">
        <w:rPr>
          <w:rFonts w:ascii="Times New Roman" w:hAnsi="Times New Roman"/>
          <w:bCs/>
          <w:i/>
          <w:sz w:val="24"/>
          <w:szCs w:val="24"/>
        </w:rPr>
        <w:br/>
        <w:t xml:space="preserve">k narovnání </w:t>
      </w:r>
      <w:r w:rsidRPr="0030665B">
        <w:rPr>
          <w:rFonts w:ascii="Times New Roman" w:hAnsi="Times New Roman"/>
          <w:bCs/>
          <w:i/>
          <w:sz w:val="24"/>
          <w:szCs w:val="24"/>
          <w:u w:val="single"/>
        </w:rPr>
        <w:t>podnikatelského prostředí</w:t>
      </w:r>
      <w:r w:rsidRPr="0030665B">
        <w:rPr>
          <w:rFonts w:ascii="Times New Roman" w:hAnsi="Times New Roman"/>
          <w:bCs/>
          <w:i/>
          <w:sz w:val="24"/>
          <w:szCs w:val="24"/>
        </w:rPr>
        <w:t xml:space="preserve"> v ČR?“</w:t>
      </w:r>
    </w:p>
    <w:p w:rsidR="005D5617" w:rsidRPr="00D26728" w:rsidRDefault="005D5617" w:rsidP="005D5617">
      <w:pPr>
        <w:pStyle w:val="Zkladntext"/>
        <w:spacing w:after="240" w:line="288" w:lineRule="auto"/>
        <w:rPr>
          <w:i w:val="0"/>
          <w:sz w:val="20"/>
        </w:rPr>
      </w:pPr>
      <w:r w:rsidRPr="001B1385">
        <w:rPr>
          <w:i w:val="0"/>
          <w:noProof/>
          <w:sz w:val="24"/>
          <w:szCs w:val="24"/>
        </w:rPr>
        <w:drawing>
          <wp:inline distT="0" distB="0" distL="0" distR="0" wp14:anchorId="1B21A71A" wp14:editId="751456CD">
            <wp:extent cx="5716921" cy="2827725"/>
            <wp:effectExtent l="0" t="0" r="0" b="0"/>
            <wp:docPr id="7" name="Graf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D26728">
        <w:rPr>
          <w:i w:val="0"/>
          <w:sz w:val="20"/>
        </w:rPr>
        <w:t xml:space="preserve"> Pozn.: Údaje v grafu jsou vzhledem k počtu dotázaných v souboru u jednotlivých politických stran pouze orientační.</w:t>
      </w:r>
    </w:p>
    <w:p w:rsidR="005D5617" w:rsidRDefault="005D5617" w:rsidP="005D5617">
      <w:pPr>
        <w:pStyle w:val="Zkladntext"/>
        <w:spacing w:line="360" w:lineRule="auto"/>
        <w:rPr>
          <w:i w:val="0"/>
          <w:sz w:val="24"/>
          <w:szCs w:val="24"/>
        </w:rPr>
      </w:pPr>
    </w:p>
    <w:p w:rsidR="005D5617" w:rsidRPr="006861F4" w:rsidRDefault="005D5617" w:rsidP="005D5617">
      <w:pPr>
        <w:pStyle w:val="Zkladntext"/>
        <w:spacing w:after="240" w:line="360" w:lineRule="auto"/>
        <w:rPr>
          <w:i w:val="0"/>
          <w:sz w:val="24"/>
          <w:szCs w:val="24"/>
        </w:rPr>
      </w:pPr>
      <w:r w:rsidRPr="006861F4">
        <w:rPr>
          <w:i w:val="0"/>
          <w:sz w:val="24"/>
          <w:szCs w:val="24"/>
        </w:rPr>
        <w:t>Dvoutřetinová většina občanů (66 %) nadále očekává, že zavedení elektronické evidence tržeb postupně zlepší výběr daní od obchodníků a poskytovatelů služeb. Přes masivní publicitu kritických stanovisek zpochybňujících přínos EET pro vyšší výběr daní se většinové kladné očekávání v průběhu roku 2016 nezměnilo.</w:t>
      </w:r>
    </w:p>
    <w:p w:rsidR="005D5617" w:rsidRPr="003F7B69" w:rsidRDefault="005D5617" w:rsidP="005D5617">
      <w:pPr>
        <w:pStyle w:val="Zkladntext3"/>
        <w:spacing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3F7B69">
        <w:rPr>
          <w:rFonts w:ascii="Times New Roman" w:hAnsi="Times New Roman"/>
          <w:bCs/>
          <w:i/>
          <w:sz w:val="24"/>
          <w:szCs w:val="24"/>
        </w:rPr>
        <w:lastRenderedPageBreak/>
        <w:t xml:space="preserve">„Myslíte si, že zavedení elektronické evidence tržeb postupně přispěje </w:t>
      </w:r>
      <w:r w:rsidRPr="003F7B69">
        <w:rPr>
          <w:rFonts w:ascii="Times New Roman" w:hAnsi="Times New Roman"/>
          <w:bCs/>
          <w:i/>
          <w:sz w:val="24"/>
          <w:szCs w:val="24"/>
        </w:rPr>
        <w:br/>
        <w:t xml:space="preserve">ke zlepšení </w:t>
      </w:r>
      <w:r w:rsidRPr="003F7B69">
        <w:rPr>
          <w:rFonts w:ascii="Times New Roman" w:hAnsi="Times New Roman"/>
          <w:bCs/>
          <w:i/>
          <w:sz w:val="24"/>
          <w:szCs w:val="24"/>
          <w:u w:val="single"/>
        </w:rPr>
        <w:t>výběru</w:t>
      </w:r>
      <w:r w:rsidRPr="003F7B69">
        <w:rPr>
          <w:rFonts w:ascii="Times New Roman" w:hAnsi="Times New Roman"/>
          <w:bCs/>
          <w:i/>
          <w:sz w:val="24"/>
          <w:szCs w:val="24"/>
        </w:rPr>
        <w:t xml:space="preserve"> daní od obchodníků a poskytovatelů služeb?“</w:t>
      </w:r>
    </w:p>
    <w:p w:rsidR="005D5617" w:rsidRDefault="005D5617" w:rsidP="005D5617">
      <w:pPr>
        <w:pStyle w:val="Zkladntext"/>
        <w:spacing w:after="240" w:line="288" w:lineRule="auto"/>
        <w:rPr>
          <w:i w:val="0"/>
          <w:sz w:val="24"/>
          <w:szCs w:val="24"/>
        </w:rPr>
      </w:pPr>
      <w:r w:rsidRPr="003F7B69">
        <w:rPr>
          <w:i w:val="0"/>
          <w:noProof/>
          <w:sz w:val="24"/>
          <w:szCs w:val="24"/>
        </w:rPr>
        <w:drawing>
          <wp:inline distT="0" distB="0" distL="0" distR="0" wp14:anchorId="2852E5D1" wp14:editId="0F47599F">
            <wp:extent cx="5831840" cy="2773937"/>
            <wp:effectExtent l="0" t="0" r="0" b="0"/>
            <wp:docPr id="4" name="Graf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D5617" w:rsidRDefault="005D5617" w:rsidP="005D5617">
      <w:pPr>
        <w:pStyle w:val="Zkladntext"/>
        <w:spacing w:after="240" w:line="360" w:lineRule="auto"/>
        <w:rPr>
          <w:i w:val="0"/>
          <w:sz w:val="24"/>
          <w:szCs w:val="24"/>
        </w:rPr>
      </w:pPr>
      <w:r w:rsidRPr="001B1385">
        <w:rPr>
          <w:i w:val="0"/>
          <w:sz w:val="24"/>
          <w:szCs w:val="24"/>
        </w:rPr>
        <w:t>Zavedení EET zlepší výběr daní podle jasné většiny příznivců ANO, dále také KSČM a ČSSD.</w:t>
      </w:r>
    </w:p>
    <w:p w:rsidR="005D5617" w:rsidRPr="003F7B69" w:rsidRDefault="005D5617" w:rsidP="005D5617">
      <w:pPr>
        <w:pStyle w:val="Zkladntext3"/>
        <w:spacing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3F7B69">
        <w:rPr>
          <w:rFonts w:ascii="Times New Roman" w:hAnsi="Times New Roman"/>
          <w:bCs/>
          <w:i/>
          <w:sz w:val="24"/>
          <w:szCs w:val="24"/>
        </w:rPr>
        <w:t xml:space="preserve">„Myslíte si, že zavedení elektronické evidence tržeb postupně přispěje </w:t>
      </w:r>
      <w:r w:rsidRPr="003F7B69">
        <w:rPr>
          <w:rFonts w:ascii="Times New Roman" w:hAnsi="Times New Roman"/>
          <w:bCs/>
          <w:i/>
          <w:sz w:val="24"/>
          <w:szCs w:val="24"/>
        </w:rPr>
        <w:br/>
        <w:t xml:space="preserve">ke zlepšení </w:t>
      </w:r>
      <w:r w:rsidRPr="003F7B69">
        <w:rPr>
          <w:rFonts w:ascii="Times New Roman" w:hAnsi="Times New Roman"/>
          <w:bCs/>
          <w:i/>
          <w:sz w:val="24"/>
          <w:szCs w:val="24"/>
          <w:u w:val="single"/>
        </w:rPr>
        <w:t>výběru</w:t>
      </w:r>
      <w:r w:rsidRPr="003F7B69">
        <w:rPr>
          <w:rFonts w:ascii="Times New Roman" w:hAnsi="Times New Roman"/>
          <w:bCs/>
          <w:i/>
          <w:sz w:val="24"/>
          <w:szCs w:val="24"/>
        </w:rPr>
        <w:t xml:space="preserve"> daní od obchodníků a poskytovatelů služeb?“</w:t>
      </w:r>
    </w:p>
    <w:p w:rsidR="005D5617" w:rsidRPr="00D26728" w:rsidRDefault="005D5617" w:rsidP="005D5617">
      <w:pPr>
        <w:pStyle w:val="Zkladntext"/>
        <w:spacing w:after="240" w:line="288" w:lineRule="auto"/>
        <w:rPr>
          <w:i w:val="0"/>
          <w:sz w:val="20"/>
        </w:rPr>
      </w:pPr>
      <w:r w:rsidRPr="001B1385">
        <w:rPr>
          <w:i w:val="0"/>
          <w:noProof/>
          <w:sz w:val="24"/>
          <w:szCs w:val="24"/>
        </w:rPr>
        <w:drawing>
          <wp:inline distT="0" distB="0" distL="0" distR="0" wp14:anchorId="3F45E24F" wp14:editId="7707B75B">
            <wp:extent cx="5831840" cy="2726816"/>
            <wp:effectExtent l="0" t="0" r="0" b="0"/>
            <wp:docPr id="8" name="Graf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Pr="00D26728">
        <w:rPr>
          <w:i w:val="0"/>
          <w:sz w:val="20"/>
        </w:rPr>
        <w:t xml:space="preserve"> Pozn.: Údaje v grafu jsou vzhledem k počtu dotázaných v souboru u jednotlivých politických stran pouze orientační.</w:t>
      </w:r>
    </w:p>
    <w:p w:rsidR="005D5617" w:rsidRDefault="005D5617" w:rsidP="005D5617">
      <w:pPr>
        <w:pStyle w:val="Zkladntext"/>
        <w:rPr>
          <w:i w:val="0"/>
          <w:sz w:val="24"/>
          <w:szCs w:val="24"/>
        </w:rPr>
      </w:pPr>
    </w:p>
    <w:p w:rsidR="005D5617" w:rsidRDefault="005D5617" w:rsidP="006861F4">
      <w:pPr>
        <w:pStyle w:val="Zkladntext"/>
        <w:spacing w:after="240" w:line="360" w:lineRule="auto"/>
        <w:rPr>
          <w:i w:val="0"/>
          <w:sz w:val="24"/>
          <w:szCs w:val="24"/>
        </w:rPr>
      </w:pPr>
      <w:r w:rsidRPr="006861F4">
        <w:rPr>
          <w:i w:val="0"/>
          <w:sz w:val="24"/>
          <w:szCs w:val="24"/>
        </w:rPr>
        <w:t>Zdražování služeb v restauracích se zavedením EET podle většiny lidí nesouvisí a je pouze</w:t>
      </w:r>
      <w:r w:rsidRPr="006B5FD0">
        <w:rPr>
          <w:i w:val="0"/>
          <w:sz w:val="24"/>
          <w:szCs w:val="24"/>
        </w:rPr>
        <w:t xml:space="preserve"> </w:t>
      </w:r>
      <w:r w:rsidRPr="006861F4">
        <w:rPr>
          <w:i w:val="0"/>
          <w:sz w:val="24"/>
          <w:szCs w:val="24"/>
        </w:rPr>
        <w:t>záminkou</w:t>
      </w:r>
      <w:r w:rsidRPr="006B5FD0">
        <w:rPr>
          <w:i w:val="0"/>
          <w:sz w:val="24"/>
          <w:szCs w:val="24"/>
        </w:rPr>
        <w:t xml:space="preserve"> k</w:t>
      </w:r>
      <w:r>
        <w:rPr>
          <w:i w:val="0"/>
          <w:sz w:val="24"/>
          <w:szCs w:val="24"/>
        </w:rPr>
        <w:t>e</w:t>
      </w:r>
      <w:r w:rsidRPr="006B5FD0">
        <w:rPr>
          <w:i w:val="0"/>
          <w:sz w:val="24"/>
          <w:szCs w:val="24"/>
        </w:rPr>
        <w:t xml:space="preserve"> zdražování služeb v restauracích.</w:t>
      </w:r>
      <w:r>
        <w:rPr>
          <w:i w:val="0"/>
          <w:sz w:val="24"/>
          <w:szCs w:val="24"/>
        </w:rPr>
        <w:t xml:space="preserve"> Jediným a hlavním důvodem pro zdražování je pouze pro 10 % občanů.</w:t>
      </w:r>
    </w:p>
    <w:p w:rsidR="005D5617" w:rsidRDefault="005D5617" w:rsidP="005D5617">
      <w:pPr>
        <w:pStyle w:val="Zkladntext"/>
        <w:spacing w:after="240" w:line="288" w:lineRule="auto"/>
        <w:rPr>
          <w:i w:val="0"/>
          <w:sz w:val="24"/>
          <w:szCs w:val="24"/>
        </w:rPr>
      </w:pPr>
    </w:p>
    <w:p w:rsidR="00C6707E" w:rsidRDefault="00C6707E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A97A9B" w:rsidRPr="006B5FD0" w:rsidRDefault="00A97A9B" w:rsidP="00A97A9B">
      <w:pPr>
        <w:pStyle w:val="Zkladntext3"/>
        <w:spacing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6B5FD0">
        <w:rPr>
          <w:rFonts w:ascii="Times New Roman" w:hAnsi="Times New Roman"/>
          <w:bCs/>
          <w:i/>
          <w:sz w:val="24"/>
          <w:szCs w:val="24"/>
        </w:rPr>
        <w:t>„Myslíte si, že elektronická evidence tržeb je důvodem ke zdražování restauračních služeb?“</w:t>
      </w:r>
    </w:p>
    <w:p w:rsidR="00A97A9B" w:rsidRDefault="00A97A9B" w:rsidP="00A97A9B">
      <w:pPr>
        <w:pStyle w:val="Zkladntext"/>
        <w:spacing w:after="240" w:line="288" w:lineRule="auto"/>
        <w:rPr>
          <w:i w:val="0"/>
          <w:sz w:val="24"/>
          <w:szCs w:val="24"/>
        </w:rPr>
      </w:pPr>
      <w:r w:rsidRPr="006B5FD0">
        <w:rPr>
          <w:i w:val="0"/>
          <w:noProof/>
          <w:sz w:val="24"/>
          <w:szCs w:val="24"/>
        </w:rPr>
        <w:drawing>
          <wp:inline distT="0" distB="0" distL="0" distR="0" wp14:anchorId="7DEBFACE" wp14:editId="6101BC80">
            <wp:extent cx="5831840" cy="2621414"/>
            <wp:effectExtent l="0" t="0" r="0" b="0"/>
            <wp:docPr id="5" name="Graf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537B02" w:rsidRPr="006861F4" w:rsidRDefault="004F7FFA" w:rsidP="00A97A9B">
      <w:pPr>
        <w:pStyle w:val="Zkladntext"/>
        <w:spacing w:after="240" w:line="360" w:lineRule="auto"/>
        <w:rPr>
          <w:i w:val="0"/>
          <w:sz w:val="24"/>
          <w:szCs w:val="24"/>
        </w:rPr>
      </w:pPr>
      <w:r w:rsidRPr="006861F4">
        <w:rPr>
          <w:i w:val="0"/>
          <w:sz w:val="24"/>
          <w:szCs w:val="24"/>
        </w:rPr>
        <w:t xml:space="preserve">Diskusi vyvolával i </w:t>
      </w:r>
      <w:r w:rsidR="00A97A9B">
        <w:rPr>
          <w:i w:val="0"/>
          <w:sz w:val="24"/>
          <w:szCs w:val="24"/>
        </w:rPr>
        <w:t xml:space="preserve">systém </w:t>
      </w:r>
      <w:r w:rsidR="00A97A9B" w:rsidRPr="006861F4">
        <w:rPr>
          <w:i w:val="0"/>
          <w:sz w:val="24"/>
          <w:szCs w:val="24"/>
        </w:rPr>
        <w:t xml:space="preserve">kontroly vydávání účtenek. </w:t>
      </w:r>
      <w:r w:rsidRPr="006861F4">
        <w:rPr>
          <w:i w:val="0"/>
          <w:sz w:val="24"/>
          <w:szCs w:val="24"/>
        </w:rPr>
        <w:t>Výzkum ukázal, že více než polovina našich obyvatel si myslí, že by měl existovat způsob, jak jednoduše nahlásit nevydanou účtenku, případně ověřit skutečné zaevidování tržby.</w:t>
      </w:r>
    </w:p>
    <w:p w:rsidR="00A97A9B" w:rsidRPr="006B5FD0" w:rsidRDefault="00A97A9B" w:rsidP="00A97A9B">
      <w:pPr>
        <w:pStyle w:val="Zkladntext3"/>
        <w:spacing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6B5FD0">
        <w:rPr>
          <w:rFonts w:ascii="Times New Roman" w:hAnsi="Times New Roman"/>
          <w:bCs/>
          <w:i/>
          <w:sz w:val="24"/>
          <w:szCs w:val="24"/>
        </w:rPr>
        <w:t>„Má podle Vás existovat způsob, jak jednoduše nahlásit nevydanou účtenku, případně možnost ověřit skutečné zaevidování tržby?“</w:t>
      </w:r>
    </w:p>
    <w:p w:rsidR="00A97A9B" w:rsidRDefault="00A97A9B" w:rsidP="00A97A9B">
      <w:pPr>
        <w:pStyle w:val="Zkladntext"/>
        <w:spacing w:after="240" w:line="288" w:lineRule="auto"/>
        <w:rPr>
          <w:i w:val="0"/>
          <w:sz w:val="24"/>
          <w:szCs w:val="24"/>
        </w:rPr>
      </w:pPr>
      <w:r w:rsidRPr="006B5FD0">
        <w:rPr>
          <w:i w:val="0"/>
          <w:noProof/>
          <w:sz w:val="24"/>
          <w:szCs w:val="24"/>
        </w:rPr>
        <w:drawing>
          <wp:inline distT="0" distB="0" distL="0" distR="0" wp14:anchorId="34A3B1F5" wp14:editId="06EED741">
            <wp:extent cx="5831840" cy="2769597"/>
            <wp:effectExtent l="0" t="0" r="0" b="0"/>
            <wp:docPr id="6" name="Graf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D26728" w:rsidRDefault="00D26728" w:rsidP="00D26728">
      <w:pPr>
        <w:pStyle w:val="Zkladntext"/>
        <w:spacing w:after="240" w:line="360" w:lineRule="auto"/>
        <w:rPr>
          <w:i w:val="0"/>
          <w:sz w:val="24"/>
          <w:szCs w:val="24"/>
        </w:rPr>
      </w:pPr>
    </w:p>
    <w:p w:rsidR="00D26728" w:rsidRPr="006861F4" w:rsidRDefault="00D26728" w:rsidP="00D26728">
      <w:pPr>
        <w:pStyle w:val="Zkladntext"/>
        <w:spacing w:after="240" w:line="360" w:lineRule="auto"/>
        <w:rPr>
          <w:i w:val="0"/>
          <w:sz w:val="24"/>
          <w:szCs w:val="24"/>
        </w:rPr>
      </w:pPr>
      <w:r w:rsidRPr="00A97A9B">
        <w:rPr>
          <w:i w:val="0"/>
          <w:sz w:val="24"/>
          <w:szCs w:val="24"/>
        </w:rPr>
        <w:t xml:space="preserve">Způsob hlášení nevydané účtenky a možnost ověření evidence tržby </w:t>
      </w:r>
      <w:r>
        <w:rPr>
          <w:i w:val="0"/>
          <w:sz w:val="24"/>
          <w:szCs w:val="24"/>
        </w:rPr>
        <w:t>nejvíce</w:t>
      </w:r>
      <w:r w:rsidRPr="00A97A9B">
        <w:rPr>
          <w:i w:val="0"/>
          <w:sz w:val="24"/>
          <w:szCs w:val="24"/>
        </w:rPr>
        <w:t xml:space="preserve"> podporují stoupenci ANO a ČSSD, </w:t>
      </w:r>
      <w:r>
        <w:rPr>
          <w:i w:val="0"/>
          <w:sz w:val="24"/>
          <w:szCs w:val="24"/>
        </w:rPr>
        <w:t>dále pak sympatizanti KSČM</w:t>
      </w:r>
      <w:r w:rsidRPr="00A97A9B">
        <w:rPr>
          <w:i w:val="0"/>
          <w:sz w:val="24"/>
          <w:szCs w:val="24"/>
        </w:rPr>
        <w:t>.</w:t>
      </w:r>
      <w:r>
        <w:rPr>
          <w:i w:val="0"/>
          <w:sz w:val="24"/>
          <w:szCs w:val="24"/>
        </w:rPr>
        <w:t xml:space="preserve"> </w:t>
      </w:r>
      <w:r w:rsidR="004F7FFA" w:rsidRPr="006861F4">
        <w:rPr>
          <w:i w:val="0"/>
          <w:sz w:val="24"/>
          <w:szCs w:val="24"/>
        </w:rPr>
        <w:t xml:space="preserve">Jinak odmítavý postoj příznivců pravice k EET je v tomto bodě méně výrazný a zdá se, že kontrola </w:t>
      </w:r>
      <w:r w:rsidR="005D5617" w:rsidRPr="006861F4">
        <w:rPr>
          <w:i w:val="0"/>
          <w:sz w:val="24"/>
          <w:szCs w:val="24"/>
        </w:rPr>
        <w:t>není vyhraněným politickým problémem.</w:t>
      </w:r>
    </w:p>
    <w:p w:rsidR="001B1385" w:rsidRPr="006B5FD0" w:rsidRDefault="001B1385" w:rsidP="001B1385">
      <w:pPr>
        <w:pStyle w:val="Zkladntext3"/>
        <w:spacing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6B5FD0">
        <w:rPr>
          <w:rFonts w:ascii="Times New Roman" w:hAnsi="Times New Roman"/>
          <w:bCs/>
          <w:i/>
          <w:sz w:val="24"/>
          <w:szCs w:val="24"/>
        </w:rPr>
        <w:lastRenderedPageBreak/>
        <w:t>„Má podle Vás existovat způsob, jak jednoduše nahlásit nevydanou účtenku, případně možnost ověřit skutečné zaevidování tržby?“</w:t>
      </w:r>
    </w:p>
    <w:p w:rsidR="00D26728" w:rsidRPr="00D26728" w:rsidRDefault="001B1385" w:rsidP="00D26728">
      <w:pPr>
        <w:pStyle w:val="Zkladntext"/>
        <w:spacing w:after="240" w:line="288" w:lineRule="auto"/>
        <w:rPr>
          <w:i w:val="0"/>
          <w:sz w:val="20"/>
        </w:rPr>
      </w:pPr>
      <w:r w:rsidRPr="001B1385">
        <w:rPr>
          <w:i w:val="0"/>
          <w:noProof/>
          <w:sz w:val="24"/>
          <w:szCs w:val="24"/>
        </w:rPr>
        <w:drawing>
          <wp:inline distT="0" distB="0" distL="0" distR="0" wp14:anchorId="497E6204" wp14:editId="10831623">
            <wp:extent cx="5831840" cy="2683415"/>
            <wp:effectExtent l="0" t="0" r="0" b="0"/>
            <wp:docPr id="2" name="Graf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 w:rsidR="00D26728" w:rsidRPr="00D26728">
        <w:rPr>
          <w:i w:val="0"/>
          <w:sz w:val="20"/>
        </w:rPr>
        <w:t>Pozn.: Údaje v grafu jsou vzhledem k počtu dotázaných v souboru u jednotlivých politických stran pouze orientační.</w:t>
      </w:r>
    </w:p>
    <w:p w:rsidR="00D26728" w:rsidRDefault="00D26728" w:rsidP="001618AB">
      <w:pPr>
        <w:pStyle w:val="Zkladntext"/>
        <w:spacing w:after="240" w:line="288" w:lineRule="auto"/>
        <w:rPr>
          <w:i w:val="0"/>
          <w:sz w:val="24"/>
          <w:szCs w:val="24"/>
        </w:rPr>
      </w:pPr>
    </w:p>
    <w:p w:rsidR="00903181" w:rsidRPr="00537B02" w:rsidRDefault="00537B02" w:rsidP="00537B02">
      <w:pPr>
        <w:pStyle w:val="Zkladntext"/>
        <w:spacing w:after="240" w:line="360" w:lineRule="auto"/>
        <w:rPr>
          <w:i w:val="0"/>
          <w:sz w:val="24"/>
          <w:szCs w:val="24"/>
        </w:rPr>
      </w:pPr>
      <w:r w:rsidRPr="00537B02">
        <w:rPr>
          <w:i w:val="0"/>
          <w:sz w:val="24"/>
          <w:szCs w:val="24"/>
        </w:rPr>
        <w:t>Komunikace o EET zasáhla veřejnost především obecně prostřednictvím zpravodajství.</w:t>
      </w:r>
      <w:r>
        <w:rPr>
          <w:i w:val="0"/>
          <w:sz w:val="24"/>
          <w:szCs w:val="24"/>
        </w:rPr>
        <w:t xml:space="preserve"> </w:t>
      </w:r>
      <w:r w:rsidR="00F519E4" w:rsidRPr="00537B02">
        <w:rPr>
          <w:i w:val="0"/>
          <w:sz w:val="24"/>
          <w:szCs w:val="24"/>
        </w:rPr>
        <w:t>Zdá se, že účinná byla reklama především v televizi, slušně obstála i reklama na internetu.</w:t>
      </w:r>
    </w:p>
    <w:p w:rsidR="00537B02" w:rsidRPr="00537B02" w:rsidRDefault="00537B02" w:rsidP="00537B02">
      <w:pPr>
        <w:pStyle w:val="Zkladntext3"/>
        <w:spacing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537B02">
        <w:rPr>
          <w:rFonts w:ascii="Times New Roman" w:hAnsi="Times New Roman"/>
          <w:bCs/>
          <w:i/>
          <w:sz w:val="24"/>
          <w:szCs w:val="24"/>
        </w:rPr>
        <w:t>„</w:t>
      </w:r>
      <w:proofErr w:type="gramStart"/>
      <w:r w:rsidRPr="00537B02">
        <w:rPr>
          <w:rFonts w:ascii="Times New Roman" w:hAnsi="Times New Roman"/>
          <w:bCs/>
          <w:i/>
          <w:sz w:val="24"/>
          <w:szCs w:val="24"/>
        </w:rPr>
        <w:t>Zaznamenal(a) jste</w:t>
      </w:r>
      <w:proofErr w:type="gramEnd"/>
      <w:r w:rsidRPr="00537B02">
        <w:rPr>
          <w:rFonts w:ascii="Times New Roman" w:hAnsi="Times New Roman"/>
          <w:bCs/>
          <w:i/>
          <w:sz w:val="24"/>
          <w:szCs w:val="24"/>
        </w:rPr>
        <w:t xml:space="preserve"> v médiích následující reklamní sdělení, informace k zavádění elektronické evidence tržeb?“</w:t>
      </w:r>
    </w:p>
    <w:p w:rsidR="00537B02" w:rsidRDefault="00537B02" w:rsidP="00537B02">
      <w:pPr>
        <w:pStyle w:val="Zkladntext"/>
        <w:spacing w:after="240" w:line="360" w:lineRule="auto"/>
        <w:rPr>
          <w:i w:val="0"/>
          <w:sz w:val="24"/>
          <w:szCs w:val="24"/>
        </w:rPr>
      </w:pPr>
      <w:r w:rsidRPr="00537B02">
        <w:rPr>
          <w:i w:val="0"/>
          <w:noProof/>
          <w:sz w:val="24"/>
          <w:szCs w:val="24"/>
        </w:rPr>
        <w:drawing>
          <wp:inline distT="0" distB="0" distL="0" distR="0" wp14:anchorId="59EDDCFC" wp14:editId="1543A603">
            <wp:extent cx="5831840" cy="2871899"/>
            <wp:effectExtent l="0" t="0" r="0" b="0"/>
            <wp:docPr id="9" name="Graf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903181" w:rsidRPr="00537B02" w:rsidRDefault="00F519E4" w:rsidP="00537B02">
      <w:pPr>
        <w:pStyle w:val="Zkladntext"/>
        <w:spacing w:after="240" w:line="360" w:lineRule="auto"/>
        <w:rPr>
          <w:i w:val="0"/>
          <w:sz w:val="24"/>
          <w:szCs w:val="24"/>
        </w:rPr>
      </w:pPr>
      <w:r w:rsidRPr="00537B02">
        <w:rPr>
          <w:i w:val="0"/>
          <w:sz w:val="24"/>
          <w:szCs w:val="24"/>
        </w:rPr>
        <w:t>Veřejnost je spokojena se stavem informovanosti o EET a ani v časovém srovnání netrpí nedostatkem informací.</w:t>
      </w:r>
      <w:r w:rsidR="00537B02">
        <w:rPr>
          <w:i w:val="0"/>
          <w:sz w:val="24"/>
          <w:szCs w:val="24"/>
        </w:rPr>
        <w:t xml:space="preserve"> </w:t>
      </w:r>
      <w:r w:rsidR="00537B02" w:rsidRPr="00537B02">
        <w:rPr>
          <w:i w:val="0"/>
          <w:sz w:val="24"/>
          <w:szCs w:val="24"/>
        </w:rPr>
        <w:t xml:space="preserve">Od května se mírně zvýšil podíl těch, kteří již o EET </w:t>
      </w:r>
      <w:proofErr w:type="gramStart"/>
      <w:r w:rsidR="00537B02" w:rsidRPr="00537B02">
        <w:rPr>
          <w:i w:val="0"/>
          <w:sz w:val="24"/>
          <w:szCs w:val="24"/>
        </w:rPr>
        <w:t>ví</w:t>
      </w:r>
      <w:proofErr w:type="gramEnd"/>
      <w:r w:rsidR="00537B02" w:rsidRPr="00537B02">
        <w:rPr>
          <w:i w:val="0"/>
          <w:sz w:val="24"/>
          <w:szCs w:val="24"/>
        </w:rPr>
        <w:t xml:space="preserve"> všechno, co </w:t>
      </w:r>
      <w:r w:rsidR="00537B02" w:rsidRPr="00537B02">
        <w:rPr>
          <w:i w:val="0"/>
          <w:sz w:val="24"/>
          <w:szCs w:val="24"/>
        </w:rPr>
        <w:lastRenderedPageBreak/>
        <w:t>potřebují.</w:t>
      </w:r>
      <w:r w:rsidR="00537B02">
        <w:rPr>
          <w:i w:val="0"/>
          <w:sz w:val="24"/>
          <w:szCs w:val="24"/>
        </w:rPr>
        <w:t xml:space="preserve"> </w:t>
      </w:r>
      <w:r w:rsidRPr="00537B02">
        <w:rPr>
          <w:i w:val="0"/>
          <w:sz w:val="24"/>
          <w:szCs w:val="24"/>
        </w:rPr>
        <w:t xml:space="preserve">Důležitá je vysoká informovanost u vysokoškoláků a u lidí přijímajících hotovostní tržby. </w:t>
      </w:r>
    </w:p>
    <w:p w:rsidR="00537B02" w:rsidRPr="00537B02" w:rsidRDefault="00537B02" w:rsidP="00537B02">
      <w:pPr>
        <w:pStyle w:val="Zkladntext3"/>
        <w:spacing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537B02">
        <w:rPr>
          <w:rFonts w:ascii="Times New Roman" w:hAnsi="Times New Roman"/>
          <w:bCs/>
          <w:i/>
          <w:sz w:val="24"/>
          <w:szCs w:val="24"/>
        </w:rPr>
        <w:t>„</w:t>
      </w:r>
      <w:proofErr w:type="gramStart"/>
      <w:r w:rsidRPr="00537B02">
        <w:rPr>
          <w:rFonts w:ascii="Times New Roman" w:hAnsi="Times New Roman"/>
          <w:bCs/>
          <w:i/>
          <w:sz w:val="24"/>
          <w:szCs w:val="24"/>
        </w:rPr>
        <w:t>Řekl(a) byste</w:t>
      </w:r>
      <w:proofErr w:type="gramEnd"/>
      <w:r w:rsidRPr="00537B02">
        <w:rPr>
          <w:rFonts w:ascii="Times New Roman" w:hAnsi="Times New Roman"/>
          <w:bCs/>
          <w:i/>
          <w:sz w:val="24"/>
          <w:szCs w:val="24"/>
        </w:rPr>
        <w:t>, že o elektronické evidenci tržeb:“</w:t>
      </w:r>
    </w:p>
    <w:p w:rsidR="00537B02" w:rsidRPr="00537B02" w:rsidRDefault="00537B02" w:rsidP="00537B02">
      <w:pPr>
        <w:pStyle w:val="Zkladntext"/>
        <w:spacing w:after="240" w:line="360" w:lineRule="auto"/>
        <w:rPr>
          <w:i w:val="0"/>
          <w:sz w:val="24"/>
          <w:szCs w:val="24"/>
        </w:rPr>
      </w:pPr>
      <w:r w:rsidRPr="00537B02">
        <w:rPr>
          <w:i w:val="0"/>
          <w:noProof/>
          <w:sz w:val="24"/>
          <w:szCs w:val="24"/>
        </w:rPr>
        <w:drawing>
          <wp:inline distT="0" distB="0" distL="0" distR="0" wp14:anchorId="1D98E433" wp14:editId="0D772783">
            <wp:extent cx="5831840" cy="2736736"/>
            <wp:effectExtent l="0" t="0" r="0" b="0"/>
            <wp:docPr id="10" name="Graf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37B02" w:rsidRDefault="00537B02" w:rsidP="00537B02">
      <w:pPr>
        <w:pStyle w:val="Zkladntext"/>
        <w:spacing w:after="240" w:line="360" w:lineRule="auto"/>
        <w:rPr>
          <w:i w:val="0"/>
          <w:sz w:val="24"/>
          <w:szCs w:val="24"/>
        </w:rPr>
      </w:pPr>
    </w:p>
    <w:sectPr w:rsidR="00537B02" w:rsidSect="006260AA">
      <w:footerReference w:type="default" r:id="rId19"/>
      <w:pgSz w:w="11906" w:h="16838"/>
      <w:pgMar w:top="1191" w:right="1361" w:bottom="907" w:left="136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2D6" w:rsidRDefault="00D242D6" w:rsidP="00F224CF">
      <w:pPr>
        <w:spacing w:after="0" w:line="240" w:lineRule="auto"/>
      </w:pPr>
      <w:r>
        <w:separator/>
      </w:r>
    </w:p>
  </w:endnote>
  <w:endnote w:type="continuationSeparator" w:id="0">
    <w:p w:rsidR="00D242D6" w:rsidRDefault="00D242D6" w:rsidP="00F22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423" w:rsidRDefault="006260AA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7C5420">
      <w:rPr>
        <w:noProof/>
      </w:rPr>
      <w:t>1</w:t>
    </w:r>
    <w:r>
      <w:rPr>
        <w:noProof/>
      </w:rPr>
      <w:fldChar w:fldCharType="end"/>
    </w:r>
  </w:p>
  <w:p w:rsidR="00385423" w:rsidRDefault="0038542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2D6" w:rsidRDefault="00D242D6" w:rsidP="00F224CF">
      <w:pPr>
        <w:spacing w:after="0" w:line="240" w:lineRule="auto"/>
      </w:pPr>
      <w:r>
        <w:separator/>
      </w:r>
    </w:p>
  </w:footnote>
  <w:footnote w:type="continuationSeparator" w:id="0">
    <w:p w:rsidR="00D242D6" w:rsidRDefault="00D242D6" w:rsidP="00F22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A6639"/>
    <w:multiLevelType w:val="hybridMultilevel"/>
    <w:tmpl w:val="C5FCFCD0"/>
    <w:lvl w:ilvl="0" w:tplc="6EDECFA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12D5E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2E7F2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E0E4D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2CB60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E6E76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06D6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3CA7A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48857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C12EE2"/>
    <w:multiLevelType w:val="hybridMultilevel"/>
    <w:tmpl w:val="BCC8E410"/>
    <w:lvl w:ilvl="0" w:tplc="DBE44F4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58F54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5E406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745C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10E1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BA258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E2CBF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0E05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ACA8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BD2526"/>
    <w:multiLevelType w:val="hybridMultilevel"/>
    <w:tmpl w:val="A6E2E028"/>
    <w:lvl w:ilvl="0" w:tplc="0405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37A022AE"/>
    <w:multiLevelType w:val="hybridMultilevel"/>
    <w:tmpl w:val="923209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0D3C52"/>
    <w:multiLevelType w:val="hybridMultilevel"/>
    <w:tmpl w:val="60B45024"/>
    <w:lvl w:ilvl="0" w:tplc="4F5CD582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E17C57"/>
    <w:multiLevelType w:val="hybridMultilevel"/>
    <w:tmpl w:val="F6BABE56"/>
    <w:lvl w:ilvl="0" w:tplc="5AA610A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323AB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54C46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A498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1A2BB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70943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C2E19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E439F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30F2C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994BA5"/>
    <w:multiLevelType w:val="hybridMultilevel"/>
    <w:tmpl w:val="65C016CE"/>
    <w:lvl w:ilvl="0" w:tplc="4D44BD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26ACE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EE5B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ACADA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2A582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C4148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AE4E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D0E8F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E0F0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E78"/>
    <w:rsid w:val="000630F0"/>
    <w:rsid w:val="000D52AE"/>
    <w:rsid w:val="00157B28"/>
    <w:rsid w:val="001618AB"/>
    <w:rsid w:val="001B1385"/>
    <w:rsid w:val="001D5299"/>
    <w:rsid w:val="00293CF5"/>
    <w:rsid w:val="002E4281"/>
    <w:rsid w:val="0030665B"/>
    <w:rsid w:val="00322E78"/>
    <w:rsid w:val="00353746"/>
    <w:rsid w:val="003803F7"/>
    <w:rsid w:val="00385423"/>
    <w:rsid w:val="003B561B"/>
    <w:rsid w:val="003B6AAC"/>
    <w:rsid w:val="003F7B69"/>
    <w:rsid w:val="00404FB5"/>
    <w:rsid w:val="0042294C"/>
    <w:rsid w:val="0043485C"/>
    <w:rsid w:val="0047484F"/>
    <w:rsid w:val="004E36B9"/>
    <w:rsid w:val="004F7FFA"/>
    <w:rsid w:val="00517F10"/>
    <w:rsid w:val="005240CF"/>
    <w:rsid w:val="00537B02"/>
    <w:rsid w:val="005863C0"/>
    <w:rsid w:val="005D4611"/>
    <w:rsid w:val="005D5617"/>
    <w:rsid w:val="00604C54"/>
    <w:rsid w:val="006260AA"/>
    <w:rsid w:val="00683C2D"/>
    <w:rsid w:val="006861F4"/>
    <w:rsid w:val="006B5FD0"/>
    <w:rsid w:val="007629CD"/>
    <w:rsid w:val="007834E3"/>
    <w:rsid w:val="007B33FB"/>
    <w:rsid w:val="007C5420"/>
    <w:rsid w:val="00862430"/>
    <w:rsid w:val="00896266"/>
    <w:rsid w:val="00903181"/>
    <w:rsid w:val="009D73B0"/>
    <w:rsid w:val="009F362C"/>
    <w:rsid w:val="00A255B1"/>
    <w:rsid w:val="00A3617B"/>
    <w:rsid w:val="00A97A9B"/>
    <w:rsid w:val="00B2453F"/>
    <w:rsid w:val="00BA64E5"/>
    <w:rsid w:val="00BF6F67"/>
    <w:rsid w:val="00C21C75"/>
    <w:rsid w:val="00C6707E"/>
    <w:rsid w:val="00CC3745"/>
    <w:rsid w:val="00D242D6"/>
    <w:rsid w:val="00D26728"/>
    <w:rsid w:val="00D56BA7"/>
    <w:rsid w:val="00DB7AB6"/>
    <w:rsid w:val="00DD2C18"/>
    <w:rsid w:val="00DF033B"/>
    <w:rsid w:val="00E774BC"/>
    <w:rsid w:val="00EE01FD"/>
    <w:rsid w:val="00F224CF"/>
    <w:rsid w:val="00F2683B"/>
    <w:rsid w:val="00F269B6"/>
    <w:rsid w:val="00F519E4"/>
    <w:rsid w:val="00FC036E"/>
    <w:rsid w:val="00FD0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21C75"/>
    <w:pPr>
      <w:spacing w:after="200" w:line="276" w:lineRule="auto"/>
    </w:pPr>
    <w:rPr>
      <w:lang w:eastAsia="en-US"/>
    </w:rPr>
  </w:style>
  <w:style w:type="paragraph" w:styleId="Nadpis1">
    <w:name w:val="heading 1"/>
    <w:basedOn w:val="Normln"/>
    <w:next w:val="Normln"/>
    <w:link w:val="Nadpis1Char"/>
    <w:qFormat/>
    <w:locked/>
    <w:rsid w:val="00FD0BD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322E78"/>
    <w:pPr>
      <w:spacing w:after="0" w:line="240" w:lineRule="auto"/>
      <w:jc w:val="both"/>
    </w:pPr>
    <w:rPr>
      <w:rFonts w:ascii="Times New Roman" w:eastAsia="Times New Roman" w:hAnsi="Times New Roman"/>
      <w:i/>
      <w:sz w:val="28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locked/>
    <w:rsid w:val="00322E78"/>
    <w:rPr>
      <w:rFonts w:ascii="Times New Roman" w:hAnsi="Times New Roman" w:cs="Times New Roman"/>
      <w:i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683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683C2D"/>
    <w:rPr>
      <w:rFonts w:ascii="Tahoma" w:hAnsi="Tahoma" w:cs="Tahoma"/>
      <w:sz w:val="16"/>
      <w:szCs w:val="16"/>
    </w:rPr>
  </w:style>
  <w:style w:type="paragraph" w:styleId="Zkladntext3">
    <w:name w:val="Body Text 3"/>
    <w:basedOn w:val="Normln"/>
    <w:link w:val="Zkladntext3Char"/>
    <w:uiPriority w:val="99"/>
    <w:semiHidden/>
    <w:rsid w:val="007629C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locked/>
    <w:rsid w:val="007629CD"/>
    <w:rPr>
      <w:rFonts w:cs="Times New Roman"/>
      <w:sz w:val="16"/>
      <w:szCs w:val="16"/>
    </w:rPr>
  </w:style>
  <w:style w:type="paragraph" w:styleId="Zpat">
    <w:name w:val="footer"/>
    <w:basedOn w:val="Normln"/>
    <w:link w:val="ZpatChar"/>
    <w:rsid w:val="007629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locked/>
    <w:rsid w:val="007629CD"/>
    <w:rPr>
      <w:rFonts w:ascii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F22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224CF"/>
    <w:rPr>
      <w:rFonts w:cs="Times New Roman"/>
    </w:rPr>
  </w:style>
  <w:style w:type="character" w:styleId="Odkaznakoment">
    <w:name w:val="annotation reference"/>
    <w:basedOn w:val="Standardnpsmoodstavce"/>
    <w:uiPriority w:val="99"/>
    <w:semiHidden/>
    <w:rsid w:val="000630F0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0630F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962B3"/>
    <w:rPr>
      <w:sz w:val="20"/>
      <w:szCs w:val="20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0630F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962B3"/>
    <w:rPr>
      <w:b/>
      <w:bCs/>
      <w:sz w:val="20"/>
      <w:szCs w:val="20"/>
      <w:lang w:eastAsia="en-US"/>
    </w:rPr>
  </w:style>
  <w:style w:type="character" w:customStyle="1" w:styleId="Nadpis1Char">
    <w:name w:val="Nadpis 1 Char"/>
    <w:basedOn w:val="Standardnpsmoodstavce"/>
    <w:link w:val="Nadpis1"/>
    <w:rsid w:val="00FD0BDA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Odstavecseseznamem">
    <w:name w:val="List Paragraph"/>
    <w:basedOn w:val="Normln"/>
    <w:uiPriority w:val="34"/>
    <w:qFormat/>
    <w:rsid w:val="00EE01FD"/>
    <w:pPr>
      <w:spacing w:after="0" w:line="240" w:lineRule="auto"/>
      <w:ind w:left="720"/>
    </w:pPr>
    <w:rPr>
      <w:rFonts w:eastAsiaTheme="minorHAns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21C75"/>
    <w:pPr>
      <w:spacing w:after="200" w:line="276" w:lineRule="auto"/>
    </w:pPr>
    <w:rPr>
      <w:lang w:eastAsia="en-US"/>
    </w:rPr>
  </w:style>
  <w:style w:type="paragraph" w:styleId="Nadpis1">
    <w:name w:val="heading 1"/>
    <w:basedOn w:val="Normln"/>
    <w:next w:val="Normln"/>
    <w:link w:val="Nadpis1Char"/>
    <w:qFormat/>
    <w:locked/>
    <w:rsid w:val="00FD0BD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322E78"/>
    <w:pPr>
      <w:spacing w:after="0" w:line="240" w:lineRule="auto"/>
      <w:jc w:val="both"/>
    </w:pPr>
    <w:rPr>
      <w:rFonts w:ascii="Times New Roman" w:eastAsia="Times New Roman" w:hAnsi="Times New Roman"/>
      <w:i/>
      <w:sz w:val="28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locked/>
    <w:rsid w:val="00322E78"/>
    <w:rPr>
      <w:rFonts w:ascii="Times New Roman" w:hAnsi="Times New Roman" w:cs="Times New Roman"/>
      <w:i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683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683C2D"/>
    <w:rPr>
      <w:rFonts w:ascii="Tahoma" w:hAnsi="Tahoma" w:cs="Tahoma"/>
      <w:sz w:val="16"/>
      <w:szCs w:val="16"/>
    </w:rPr>
  </w:style>
  <w:style w:type="paragraph" w:styleId="Zkladntext3">
    <w:name w:val="Body Text 3"/>
    <w:basedOn w:val="Normln"/>
    <w:link w:val="Zkladntext3Char"/>
    <w:uiPriority w:val="99"/>
    <w:semiHidden/>
    <w:rsid w:val="007629C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locked/>
    <w:rsid w:val="007629CD"/>
    <w:rPr>
      <w:rFonts w:cs="Times New Roman"/>
      <w:sz w:val="16"/>
      <w:szCs w:val="16"/>
    </w:rPr>
  </w:style>
  <w:style w:type="paragraph" w:styleId="Zpat">
    <w:name w:val="footer"/>
    <w:basedOn w:val="Normln"/>
    <w:link w:val="ZpatChar"/>
    <w:rsid w:val="007629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locked/>
    <w:rsid w:val="007629CD"/>
    <w:rPr>
      <w:rFonts w:ascii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F22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224CF"/>
    <w:rPr>
      <w:rFonts w:cs="Times New Roman"/>
    </w:rPr>
  </w:style>
  <w:style w:type="character" w:styleId="Odkaznakoment">
    <w:name w:val="annotation reference"/>
    <w:basedOn w:val="Standardnpsmoodstavce"/>
    <w:uiPriority w:val="99"/>
    <w:semiHidden/>
    <w:rsid w:val="000630F0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0630F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962B3"/>
    <w:rPr>
      <w:sz w:val="20"/>
      <w:szCs w:val="20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0630F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962B3"/>
    <w:rPr>
      <w:b/>
      <w:bCs/>
      <w:sz w:val="20"/>
      <w:szCs w:val="20"/>
      <w:lang w:eastAsia="en-US"/>
    </w:rPr>
  </w:style>
  <w:style w:type="character" w:customStyle="1" w:styleId="Nadpis1Char">
    <w:name w:val="Nadpis 1 Char"/>
    <w:basedOn w:val="Standardnpsmoodstavce"/>
    <w:link w:val="Nadpis1"/>
    <w:rsid w:val="00FD0BDA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Odstavecseseznamem">
    <w:name w:val="List Paragraph"/>
    <w:basedOn w:val="Normln"/>
    <w:uiPriority w:val="34"/>
    <w:qFormat/>
    <w:rsid w:val="00EE01FD"/>
    <w:pPr>
      <w:spacing w:after="0" w:line="240" w:lineRule="auto"/>
      <w:ind w:left="720"/>
    </w:pPr>
    <w:rPr>
      <w:rFonts w:eastAsiaTheme="minorHAns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27728">
          <w:marLeft w:val="605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975371">
          <w:marLeft w:val="605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36403">
          <w:marLeft w:val="605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4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395686">
          <w:marLeft w:val="605"/>
          <w:marRight w:val="0"/>
          <w:marTop w:val="115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0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0647970118015564E-2"/>
          <c:y val="3.0712162673232478E-2"/>
          <c:w val="0.88506615704890035"/>
          <c:h val="0.74291142059821558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Pozitivní opatření</c:v>
                </c:pt>
              </c:strCache>
            </c:strRef>
          </c:tx>
          <c:spPr>
            <a:solidFill>
              <a:srgbClr val="FFCC00"/>
            </a:solidFill>
            <a:ln w="12687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6583408426770639E-3"/>
                  <c:y val="1.4357938129848167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380354455390308E-4"/>
                  <c:y val="5.6677311473760971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5403683044278974E-4"/>
                  <c:y val="3.1595117850802606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434117796129328E-3"/>
                  <c:y val="-2.6380202814108619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5373">
                <a:noFill/>
              </a:ln>
            </c:spPr>
            <c:txPr>
              <a:bodyPr/>
              <a:lstStyle/>
              <a:p>
                <a:pPr algn="r">
                  <a:defRPr sz="1200" b="0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Sheet1!$A$2:$A$3</c:f>
              <c:strCache>
                <c:ptCount val="2"/>
                <c:pt idx="0">
                  <c:v>2016/5</c:v>
                </c:pt>
                <c:pt idx="1">
                  <c:v>2016/12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63</c:v>
                </c:pt>
                <c:pt idx="1">
                  <c:v>63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Negativní opatření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 w="12687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4.3417581879287191E-4"/>
                  <c:y val="-6.3892790388301972E-4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3435657475406796E-4"/>
                  <c:y val="-3.5107507762087682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9783686768260012E-4"/>
                  <c:y val="-1.383460896202402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2572804434160634E-3"/>
                  <c:y val="2.8395172597943601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5373">
                <a:noFill/>
              </a:ln>
            </c:spPr>
            <c:txPr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Sheet1!$A$2:$A$3</c:f>
              <c:strCache>
                <c:ptCount val="2"/>
                <c:pt idx="0">
                  <c:v>2016/5</c:v>
                </c:pt>
                <c:pt idx="1">
                  <c:v>2016/12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37</c:v>
                </c:pt>
                <c:pt idx="1">
                  <c:v>37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1"/>
        <c:overlap val="100"/>
        <c:axId val="74524544"/>
        <c:axId val="74526080"/>
      </c:barChart>
      <c:catAx>
        <c:axId val="745245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Times New Roman CE"/>
                <a:ea typeface="Times New Roman CE"/>
                <a:cs typeface="Times New Roman CE"/>
              </a:defRPr>
            </a:pPr>
            <a:endParaRPr lang="cs-CZ"/>
          </a:p>
        </c:txPr>
        <c:crossAx val="745260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74526080"/>
        <c:scaling>
          <c:orientation val="minMax"/>
          <c:max val="1"/>
          <c:min val="0"/>
        </c:scaling>
        <c:delete val="0"/>
        <c:axPos val="l"/>
        <c:numFmt formatCode="0%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 CE"/>
                <a:ea typeface="Times New Roman CE"/>
                <a:cs typeface="Times New Roman CE"/>
              </a:defRPr>
            </a:pPr>
            <a:endParaRPr lang="cs-CZ"/>
          </a:p>
        </c:txPr>
        <c:crossAx val="74524544"/>
        <c:crosses val="autoZero"/>
        <c:crossBetween val="between"/>
        <c:majorUnit val="0.2"/>
      </c:valAx>
      <c:spPr>
        <a:solidFill>
          <a:srgbClr val="FFFFFF"/>
        </a:solidFill>
        <a:ln w="3172">
          <a:solidFill>
            <a:srgbClr val="00000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9.989049347611921E-2"/>
          <c:y val="0.89126203827101524"/>
          <c:w val="0.81345868340523042"/>
          <c:h val="9.2891687591076563E-2"/>
        </c:manualLayout>
      </c:layout>
      <c:overlay val="0"/>
      <c:spPr>
        <a:noFill/>
        <a:ln w="3172">
          <a:noFill/>
          <a:prstDash val="solid"/>
        </a:ln>
      </c:spPr>
      <c:txPr>
        <a:bodyPr/>
        <a:lstStyle/>
        <a:p>
          <a:pPr>
            <a:defRPr sz="1200" b="0" i="0" u="none" strike="noStrike" baseline="0">
              <a:solidFill>
                <a:srgbClr val="000000"/>
              </a:solidFill>
              <a:latin typeface="Times New Roman CE"/>
              <a:ea typeface="Times New Roman CE"/>
              <a:cs typeface="Times New Roman CE"/>
            </a:defRPr>
          </a:pPr>
          <a:endParaRPr lang="cs-CZ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9" b="0" i="0" u="none" strike="noStrike" baseline="0">
          <a:solidFill>
            <a:srgbClr val="000000"/>
          </a:solidFill>
          <a:latin typeface="Times New Roman CE"/>
          <a:ea typeface="Times New Roman CE"/>
          <a:cs typeface="Times New Roman CE"/>
        </a:defRPr>
      </a:pPr>
      <a:endParaRPr lang="cs-CZ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0647970118015564E-2"/>
          <c:y val="6.8985055361378639E-2"/>
          <c:w val="0.88506615704890035"/>
          <c:h val="0.71324087079072118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Vím vše, co potřebuji vědět</c:v>
                </c:pt>
              </c:strCache>
            </c:strRef>
          </c:tx>
          <c:spPr>
            <a:solidFill>
              <a:srgbClr val="660066"/>
            </a:solidFill>
            <a:ln w="12687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6583408426770639E-3"/>
                  <c:y val="1.4357938129848167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380354455390308E-4"/>
                  <c:y val="5.6677311473760971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5403683044278974E-4"/>
                  <c:y val="3.1595117850802606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434117796129328E-3"/>
                  <c:y val="-2.6380202814108619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5373">
                <a:noFill/>
              </a:ln>
            </c:spPr>
            <c:txPr>
              <a:bodyPr/>
              <a:lstStyle/>
              <a:p>
                <a:pPr algn="r">
                  <a:defRPr sz="1200" b="0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Sheet1!$A$2:$A$3</c:f>
              <c:strCache>
                <c:ptCount val="2"/>
                <c:pt idx="0">
                  <c:v>2016/5</c:v>
                </c:pt>
                <c:pt idx="1">
                  <c:v>2016/12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41</c:v>
                </c:pt>
                <c:pt idx="1">
                  <c:v>46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Chtěl(a) bych vědět více</c:v>
                </c:pt>
              </c:strCache>
            </c:strRef>
          </c:tx>
          <c:spPr>
            <a:solidFill>
              <a:srgbClr val="CC99FF"/>
            </a:solidFill>
            <a:ln w="12687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4.3417581879287191E-4"/>
                  <c:y val="-6.3892790388301972E-4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3435657475406796E-4"/>
                  <c:y val="-3.5107507762087682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9783686768260012E-4"/>
                  <c:y val="-1.383460896202402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2572804434160634E-3"/>
                  <c:y val="2.8395172597943601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5373">
                <a:noFill/>
              </a:ln>
            </c:spPr>
            <c:txPr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Sheet1!$A$2:$A$3</c:f>
              <c:strCache>
                <c:ptCount val="2"/>
                <c:pt idx="0">
                  <c:v>2016/5</c:v>
                </c:pt>
                <c:pt idx="1">
                  <c:v>2016/12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36</c:v>
                </c:pt>
                <c:pt idx="1">
                  <c:v>31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Téma mě vůbec nezajímá</c:v>
                </c:pt>
              </c:strCache>
            </c:strRef>
          </c:tx>
          <c:spPr>
            <a:solidFill>
              <a:srgbClr val="FFFFFF"/>
            </a:solidFill>
            <a:ln>
              <a:solidFill>
                <a:srgbClr val="000000"/>
              </a:solidFill>
            </a:ln>
          </c:spPr>
          <c:invertIfNegative val="0"/>
          <c:dLbls>
            <c:spPr>
              <a:solidFill>
                <a:schemeClr val="bg1"/>
              </a:solidFill>
            </c:spPr>
            <c:txPr>
              <a:bodyPr/>
              <a:lstStyle/>
              <a:p>
                <a:pPr>
                  <a:defRPr sz="1200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Sheet1!$A$2:$A$3</c:f>
              <c:strCache>
                <c:ptCount val="2"/>
                <c:pt idx="0">
                  <c:v>2016/5</c:v>
                </c:pt>
                <c:pt idx="1">
                  <c:v>2016/12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23</c:v>
                </c:pt>
                <c:pt idx="1">
                  <c:v>23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1"/>
        <c:overlap val="100"/>
        <c:axId val="96561408"/>
        <c:axId val="96587776"/>
      </c:barChart>
      <c:catAx>
        <c:axId val="965614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Times New Roman CE"/>
                <a:ea typeface="Times New Roman CE"/>
                <a:cs typeface="Times New Roman CE"/>
              </a:defRPr>
            </a:pPr>
            <a:endParaRPr lang="cs-CZ"/>
          </a:p>
        </c:txPr>
        <c:crossAx val="9658777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6587776"/>
        <c:scaling>
          <c:orientation val="minMax"/>
          <c:max val="1"/>
          <c:min val="0"/>
        </c:scaling>
        <c:delete val="0"/>
        <c:axPos val="l"/>
        <c:numFmt formatCode="0%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 CE"/>
                <a:ea typeface="Times New Roman CE"/>
                <a:cs typeface="Times New Roman CE"/>
              </a:defRPr>
            </a:pPr>
            <a:endParaRPr lang="cs-CZ"/>
          </a:p>
        </c:txPr>
        <c:crossAx val="96561408"/>
        <c:crosses val="autoZero"/>
        <c:crossBetween val="between"/>
        <c:majorUnit val="0.2"/>
      </c:valAx>
      <c:spPr>
        <a:solidFill>
          <a:srgbClr val="FFFFFF"/>
        </a:solidFill>
        <a:ln w="3172">
          <a:solidFill>
            <a:srgbClr val="00000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7.811468814153745E-2"/>
          <c:y val="0.90495885739972914"/>
          <c:w val="0.89999995252189458"/>
          <c:h val="7.5618118788368049E-2"/>
        </c:manualLayout>
      </c:layout>
      <c:overlay val="0"/>
      <c:spPr>
        <a:noFill/>
        <a:ln w="3172">
          <a:noFill/>
          <a:prstDash val="solid"/>
        </a:ln>
      </c:spPr>
      <c:txPr>
        <a:bodyPr/>
        <a:lstStyle/>
        <a:p>
          <a:pPr>
            <a:defRPr sz="1200" b="0" i="0" u="none" strike="noStrike" baseline="0">
              <a:solidFill>
                <a:srgbClr val="000000"/>
              </a:solidFill>
              <a:latin typeface="Times New Roman CE"/>
              <a:ea typeface="Times New Roman CE"/>
              <a:cs typeface="Times New Roman CE"/>
            </a:defRPr>
          </a:pPr>
          <a:endParaRPr lang="cs-CZ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9" b="0" i="0" u="none" strike="noStrike" baseline="0">
          <a:solidFill>
            <a:srgbClr val="000000"/>
          </a:solidFill>
          <a:latin typeface="Times New Roman CE"/>
          <a:ea typeface="Times New Roman CE"/>
          <a:cs typeface="Times New Roman CE"/>
        </a:defRPr>
      </a:pPr>
      <a:endParaRPr lang="cs-CZ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9225589225589222E-2"/>
          <c:y val="5.3286430416586018E-2"/>
          <c:w val="0.84401466982973861"/>
          <c:h val="0.71373250256925236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Určitě ano</c:v>
                </c:pt>
              </c:strCache>
            </c:strRef>
          </c:tx>
          <c:spPr>
            <a:solidFill>
              <a:srgbClr val="FF3300"/>
            </a:solidFill>
            <a:ln w="12687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6583408426770639E-3"/>
                  <c:y val="1.4357938129848167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6584947700166584E-3"/>
                  <c:y val="-1.2580443689387545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5403683044278974E-4"/>
                  <c:y val="3.1595117850802606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78451178451178449"/>
                  <c:y val="0.634674922600619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5373">
                <a:noFill/>
              </a:ln>
            </c:spPr>
            <c:txPr>
              <a:bodyPr/>
              <a:lstStyle/>
              <a:p>
                <a:pPr algn="r">
                  <a:defRPr sz="1200" b="0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Sheet1!$A$2:$A$3</c:f>
              <c:strCache>
                <c:ptCount val="2"/>
                <c:pt idx="0">
                  <c:v>2016/5</c:v>
                </c:pt>
                <c:pt idx="1">
                  <c:v>2016/12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13</c:v>
                </c:pt>
                <c:pt idx="1">
                  <c:v>17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Spíše ano</c:v>
                </c:pt>
              </c:strCache>
            </c:strRef>
          </c:tx>
          <c:spPr>
            <a:solidFill>
              <a:srgbClr val="FF9999"/>
            </a:solidFill>
            <a:ln w="12687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5.0253957024463357E-3"/>
                  <c:y val="-9.7629506917053261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5.0254981370201216E-3"/>
                  <c:y val="-1.5676280171954861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9783686768260012E-4"/>
                  <c:y val="-1.383460896202402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78619528619528622"/>
                  <c:y val="0.44891640866873067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5373">
                <a:noFill/>
              </a:ln>
            </c:spPr>
            <c:txPr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Sheet1!$A$2:$A$3</c:f>
              <c:strCache>
                <c:ptCount val="2"/>
                <c:pt idx="0">
                  <c:v>2016/5</c:v>
                </c:pt>
                <c:pt idx="1">
                  <c:v>2016/12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35</c:v>
                </c:pt>
                <c:pt idx="1">
                  <c:v>38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Spíše ne</c:v>
                </c:pt>
              </c:strCache>
            </c:strRef>
          </c:tx>
          <c:spPr>
            <a:solidFill>
              <a:srgbClr val="66FFFF"/>
            </a:solidFill>
            <a:ln>
              <a:solidFill>
                <a:schemeClr val="tx1"/>
              </a:solidFill>
            </a:ln>
          </c:spPr>
          <c:invertIfNegative val="0"/>
          <c:dLbls>
            <c:spPr>
              <a:solidFill>
                <a:schemeClr val="bg2"/>
              </a:solidFill>
            </c:spPr>
            <c:txPr>
              <a:bodyPr/>
              <a:lstStyle/>
              <a:p>
                <a:pPr>
                  <a:defRPr sz="1200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Sheet1!$A$2:$A$3</c:f>
              <c:strCache>
                <c:ptCount val="2"/>
                <c:pt idx="0">
                  <c:v>2016/5</c:v>
                </c:pt>
                <c:pt idx="1">
                  <c:v>2016/12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37</c:v>
                </c:pt>
                <c:pt idx="1">
                  <c:v>33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Určitě ne</c:v>
                </c:pt>
              </c:strCache>
            </c:strRef>
          </c:tx>
          <c:spPr>
            <a:solidFill>
              <a:srgbClr val="002060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-4.5612753469532301E-3"/>
                  <c:y val="6.082746911030246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bg2"/>
              </a:solidFill>
            </c:spPr>
            <c:txPr>
              <a:bodyPr/>
              <a:lstStyle/>
              <a:p>
                <a:pPr>
                  <a:defRPr sz="1200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Sheet1!$A$2:$A$3</c:f>
              <c:strCache>
                <c:ptCount val="2"/>
                <c:pt idx="0">
                  <c:v>2016/5</c:v>
                </c:pt>
                <c:pt idx="1">
                  <c:v>2016/12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15</c:v>
                </c:pt>
                <c:pt idx="1">
                  <c:v>12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1"/>
        <c:overlap val="100"/>
        <c:axId val="89600000"/>
        <c:axId val="89601536"/>
      </c:barChart>
      <c:catAx>
        <c:axId val="896000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Times New Roman CE"/>
                <a:ea typeface="Times New Roman CE"/>
                <a:cs typeface="Times New Roman CE"/>
              </a:defRPr>
            </a:pPr>
            <a:endParaRPr lang="cs-CZ"/>
          </a:p>
        </c:txPr>
        <c:crossAx val="8960153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9601536"/>
        <c:scaling>
          <c:orientation val="minMax"/>
          <c:max val="1"/>
          <c:min val="0"/>
        </c:scaling>
        <c:delete val="0"/>
        <c:axPos val="l"/>
        <c:numFmt formatCode="0%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 CE"/>
                <a:ea typeface="Times New Roman CE"/>
                <a:cs typeface="Times New Roman CE"/>
              </a:defRPr>
            </a:pPr>
            <a:endParaRPr lang="cs-CZ"/>
          </a:p>
        </c:txPr>
        <c:crossAx val="89600000"/>
        <c:crosses val="autoZero"/>
        <c:crossBetween val="between"/>
        <c:majorUnit val="0.2"/>
      </c:valAx>
      <c:spPr>
        <a:solidFill>
          <a:srgbClr val="FFFFFF"/>
        </a:solidFill>
        <a:ln w="3172">
          <a:solidFill>
            <a:srgbClr val="00000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9.989049347611921E-2"/>
          <c:y val="0.89126203827101524"/>
          <c:w val="0.81345868340523042"/>
          <c:h val="9.2891687591076563E-2"/>
        </c:manualLayout>
      </c:layout>
      <c:overlay val="0"/>
      <c:spPr>
        <a:noFill/>
        <a:ln w="3172">
          <a:noFill/>
          <a:prstDash val="solid"/>
        </a:ln>
      </c:spPr>
      <c:txPr>
        <a:bodyPr/>
        <a:lstStyle/>
        <a:p>
          <a:pPr>
            <a:defRPr sz="1200" b="0" i="0" u="none" strike="noStrike" baseline="0">
              <a:solidFill>
                <a:srgbClr val="000000"/>
              </a:solidFill>
              <a:latin typeface="Times New Roman CE"/>
              <a:ea typeface="Times New Roman CE"/>
              <a:cs typeface="Times New Roman CE"/>
            </a:defRPr>
          </a:pPr>
          <a:endParaRPr lang="cs-CZ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9" b="0" i="0" u="none" strike="noStrike" baseline="0">
          <a:solidFill>
            <a:srgbClr val="000000"/>
          </a:solidFill>
          <a:latin typeface="Times New Roman CE"/>
          <a:ea typeface="Times New Roman CE"/>
          <a:cs typeface="Times New Roman CE"/>
        </a:defRPr>
      </a:pPr>
      <a:endParaRPr lang="cs-CZ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cs-CZ" sz="1200" dirty="0" smtClean="0"/>
              <a:t>Rozdíly mezi sympatizanty politických stran</a:t>
            </a:r>
            <a:endParaRPr lang="cs-CZ" sz="1200" dirty="0"/>
          </a:p>
        </c:rich>
      </c:tx>
      <c:layout/>
      <c:overlay val="0"/>
    </c:title>
    <c:autoTitleDeleted val="0"/>
    <c:plotArea>
      <c:layout>
        <c:manualLayout>
          <c:layoutTarget val="inner"/>
          <c:xMode val="edge"/>
          <c:yMode val="edge"/>
          <c:x val="7.5896798294046733E-2"/>
          <c:y val="0.11764703064962059"/>
          <c:w val="0.91394784415693453"/>
          <c:h val="0.67798125923910291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Určitě+spíše ano</c:v>
                </c:pt>
              </c:strCache>
            </c:strRef>
          </c:tx>
          <c:spPr>
            <a:solidFill>
              <a:srgbClr val="CC0066"/>
            </a:solidFill>
            <a:ln w="12687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6583408426770639E-3"/>
                  <c:y val="1.4357938129848167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380354455390308E-4"/>
                  <c:y val="5.6677311473760971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5403683044278974E-4"/>
                  <c:y val="3.1595117850802606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434117796129328E-3"/>
                  <c:y val="-2.6380202814108619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5373">
                <a:noFill/>
              </a:ln>
            </c:spPr>
            <c:txPr>
              <a:bodyPr/>
              <a:lstStyle/>
              <a:p>
                <a:pPr algn="r">
                  <a:defRPr sz="1200" b="0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Sheet1!$A$2:$A$9</c:f>
              <c:strCache>
                <c:ptCount val="8"/>
                <c:pt idx="0">
                  <c:v>ANO</c:v>
                </c:pt>
                <c:pt idx="1">
                  <c:v>ČSSD</c:v>
                </c:pt>
                <c:pt idx="2">
                  <c:v>SPD</c:v>
                </c:pt>
                <c:pt idx="3">
                  <c:v>KSČM</c:v>
                </c:pt>
                <c:pt idx="4">
                  <c:v>KDU</c:v>
                </c:pt>
                <c:pt idx="5">
                  <c:v>Piráti</c:v>
                </c:pt>
                <c:pt idx="6">
                  <c:v>TOP09+STAN</c:v>
                </c:pt>
                <c:pt idx="7">
                  <c:v>ODS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82</c:v>
                </c:pt>
                <c:pt idx="1">
                  <c:v>61</c:v>
                </c:pt>
                <c:pt idx="2">
                  <c:v>55</c:v>
                </c:pt>
                <c:pt idx="3">
                  <c:v>54</c:v>
                </c:pt>
                <c:pt idx="4">
                  <c:v>48</c:v>
                </c:pt>
                <c:pt idx="5">
                  <c:v>40</c:v>
                </c:pt>
                <c:pt idx="6">
                  <c:v>34</c:v>
                </c:pt>
                <c:pt idx="7">
                  <c:v>29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Určitě+spíše ne</c:v>
                </c:pt>
              </c:strCache>
            </c:strRef>
          </c:tx>
          <c:spPr>
            <a:solidFill>
              <a:srgbClr val="00CCFF"/>
            </a:solidFill>
            <a:ln w="12687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4.3417581879287191E-4"/>
                  <c:y val="-6.3892790388301972E-4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3435657475406796E-4"/>
                  <c:y val="-3.5107507762087682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9783686768260012E-4"/>
                  <c:y val="-1.383460896202402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2572804434160634E-3"/>
                  <c:y val="2.8395172597943601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5373">
                <a:noFill/>
              </a:ln>
            </c:spPr>
            <c:txPr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Sheet1!$A$2:$A$9</c:f>
              <c:strCache>
                <c:ptCount val="8"/>
                <c:pt idx="0">
                  <c:v>ANO</c:v>
                </c:pt>
                <c:pt idx="1">
                  <c:v>ČSSD</c:v>
                </c:pt>
                <c:pt idx="2">
                  <c:v>SPD</c:v>
                </c:pt>
                <c:pt idx="3">
                  <c:v>KSČM</c:v>
                </c:pt>
                <c:pt idx="4">
                  <c:v>KDU</c:v>
                </c:pt>
                <c:pt idx="5">
                  <c:v>Piráti</c:v>
                </c:pt>
                <c:pt idx="6">
                  <c:v>TOP09+STAN</c:v>
                </c:pt>
                <c:pt idx="7">
                  <c:v>ODS</c:v>
                </c:pt>
              </c:strCache>
            </c:strRef>
          </c:cat>
          <c:val>
            <c:numRef>
              <c:f>Sheet1!$C$2:$C$9</c:f>
              <c:numCache>
                <c:formatCode>General</c:formatCode>
                <c:ptCount val="8"/>
                <c:pt idx="0">
                  <c:v>18</c:v>
                </c:pt>
                <c:pt idx="1">
                  <c:v>39</c:v>
                </c:pt>
                <c:pt idx="2">
                  <c:v>45</c:v>
                </c:pt>
                <c:pt idx="3">
                  <c:v>46</c:v>
                </c:pt>
                <c:pt idx="4">
                  <c:v>52</c:v>
                </c:pt>
                <c:pt idx="5">
                  <c:v>60</c:v>
                </c:pt>
                <c:pt idx="6">
                  <c:v>66</c:v>
                </c:pt>
                <c:pt idx="7">
                  <c:v>71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1"/>
        <c:overlap val="100"/>
        <c:axId val="89995520"/>
        <c:axId val="90009600"/>
      </c:barChart>
      <c:catAx>
        <c:axId val="899955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Times New Roman CE"/>
                <a:ea typeface="Times New Roman CE"/>
                <a:cs typeface="Times New Roman CE"/>
              </a:defRPr>
            </a:pPr>
            <a:endParaRPr lang="cs-CZ"/>
          </a:p>
        </c:txPr>
        <c:crossAx val="900096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0009600"/>
        <c:scaling>
          <c:orientation val="minMax"/>
          <c:max val="1"/>
          <c:min val="0"/>
        </c:scaling>
        <c:delete val="0"/>
        <c:axPos val="l"/>
        <c:numFmt formatCode="0%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 CE"/>
                <a:ea typeface="Times New Roman CE"/>
                <a:cs typeface="Times New Roman CE"/>
              </a:defRPr>
            </a:pPr>
            <a:endParaRPr lang="cs-CZ"/>
          </a:p>
        </c:txPr>
        <c:crossAx val="89995520"/>
        <c:crosses val="autoZero"/>
        <c:crossBetween val="between"/>
        <c:majorUnit val="0.2"/>
      </c:valAx>
      <c:spPr>
        <a:solidFill>
          <a:srgbClr val="FFFFFF"/>
        </a:solidFill>
        <a:ln w="3172">
          <a:solidFill>
            <a:srgbClr val="00000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9.989049347611921E-2"/>
          <c:y val="0.89126203827101524"/>
          <c:w val="0.81345868340523042"/>
          <c:h val="9.2891687591076563E-2"/>
        </c:manualLayout>
      </c:layout>
      <c:overlay val="0"/>
      <c:spPr>
        <a:noFill/>
        <a:ln w="3172">
          <a:noFill/>
          <a:prstDash val="solid"/>
        </a:ln>
      </c:spPr>
      <c:txPr>
        <a:bodyPr/>
        <a:lstStyle/>
        <a:p>
          <a:pPr>
            <a:defRPr sz="1200" b="0" i="0" u="none" strike="noStrike" baseline="0">
              <a:solidFill>
                <a:srgbClr val="000000"/>
              </a:solidFill>
              <a:latin typeface="Times New Roman CE"/>
              <a:ea typeface="Times New Roman CE"/>
              <a:cs typeface="Times New Roman CE"/>
            </a:defRPr>
          </a:pPr>
          <a:endParaRPr lang="cs-CZ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9" b="0" i="0" u="none" strike="noStrike" baseline="0">
          <a:solidFill>
            <a:srgbClr val="000000"/>
          </a:solidFill>
          <a:latin typeface="Times New Roman CE"/>
          <a:ea typeface="Times New Roman CE"/>
          <a:cs typeface="Times New Roman CE"/>
        </a:defRPr>
      </a:pPr>
      <a:endParaRPr lang="cs-CZ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9225589225589222E-2"/>
          <c:y val="5.3286430416586018E-2"/>
          <c:w val="0.84401466982973861"/>
          <c:h val="0.71373250256925236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Určitě ano</c:v>
                </c:pt>
              </c:strCache>
            </c:strRef>
          </c:tx>
          <c:spPr>
            <a:solidFill>
              <a:srgbClr val="FF3300"/>
            </a:solidFill>
            <a:ln w="12687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6583408426770639E-3"/>
                  <c:y val="1.4357938129848167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6584947700166584E-3"/>
                  <c:y val="-1.2580443689387545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5403683044278974E-4"/>
                  <c:y val="3.1595117850802606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78451178451178449"/>
                  <c:y val="0.634674922600619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5373">
                <a:noFill/>
              </a:ln>
            </c:spPr>
            <c:txPr>
              <a:bodyPr/>
              <a:lstStyle/>
              <a:p>
                <a:pPr algn="r">
                  <a:defRPr sz="1200" b="0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2015/6</c:v>
                </c:pt>
                <c:pt idx="1">
                  <c:v>2016/5</c:v>
                </c:pt>
                <c:pt idx="2">
                  <c:v>2016/12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27</c:v>
                </c:pt>
                <c:pt idx="1">
                  <c:v>25</c:v>
                </c:pt>
                <c:pt idx="2">
                  <c:v>24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Spíše ano</c:v>
                </c:pt>
              </c:strCache>
            </c:strRef>
          </c:tx>
          <c:spPr>
            <a:solidFill>
              <a:srgbClr val="FF9999"/>
            </a:solidFill>
            <a:ln w="12687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5.0253957024463357E-3"/>
                  <c:y val="-9.7629506917053261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5.0254981370201216E-3"/>
                  <c:y val="-1.5676280171954861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9783686768260012E-4"/>
                  <c:y val="-1.383460896202402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78619528619528622"/>
                  <c:y val="0.44891640866873067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5373">
                <a:noFill/>
              </a:ln>
            </c:spPr>
            <c:txPr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2015/6</c:v>
                </c:pt>
                <c:pt idx="1">
                  <c:v>2016/5</c:v>
                </c:pt>
                <c:pt idx="2">
                  <c:v>2016/12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47</c:v>
                </c:pt>
                <c:pt idx="1">
                  <c:v>42</c:v>
                </c:pt>
                <c:pt idx="2">
                  <c:v>42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Spíše ne</c:v>
                </c:pt>
              </c:strCache>
            </c:strRef>
          </c:tx>
          <c:spPr>
            <a:solidFill>
              <a:srgbClr val="66FFFF"/>
            </a:solidFill>
            <a:ln>
              <a:solidFill>
                <a:schemeClr val="tx1"/>
              </a:solidFill>
            </a:ln>
          </c:spPr>
          <c:invertIfNegative val="0"/>
          <c:dLbls>
            <c:spPr>
              <a:solidFill>
                <a:schemeClr val="bg2"/>
              </a:solidFill>
            </c:spPr>
            <c:txPr>
              <a:bodyPr/>
              <a:lstStyle/>
              <a:p>
                <a:pPr>
                  <a:defRPr sz="1200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2015/6</c:v>
                </c:pt>
                <c:pt idx="1">
                  <c:v>2016/5</c:v>
                </c:pt>
                <c:pt idx="2">
                  <c:v>2016/12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19</c:v>
                </c:pt>
                <c:pt idx="1">
                  <c:v>24</c:v>
                </c:pt>
                <c:pt idx="2">
                  <c:v>27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Určitě ne</c:v>
                </c:pt>
              </c:strCache>
            </c:strRef>
          </c:tx>
          <c:spPr>
            <a:solidFill>
              <a:srgbClr val="002060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-4.5612753469532301E-3"/>
                  <c:y val="6.082746911030246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bg2"/>
              </a:solidFill>
            </c:spPr>
            <c:txPr>
              <a:bodyPr/>
              <a:lstStyle/>
              <a:p>
                <a:pPr>
                  <a:defRPr sz="1200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2015/6</c:v>
                </c:pt>
                <c:pt idx="1">
                  <c:v>2016/5</c:v>
                </c:pt>
                <c:pt idx="2">
                  <c:v>2016/12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  <c:pt idx="0">
                  <c:v>7</c:v>
                </c:pt>
                <c:pt idx="1">
                  <c:v>9</c:v>
                </c:pt>
                <c:pt idx="2">
                  <c:v>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1"/>
        <c:overlap val="100"/>
        <c:axId val="89677824"/>
        <c:axId val="89679360"/>
      </c:barChart>
      <c:catAx>
        <c:axId val="896778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Times New Roman CE"/>
                <a:ea typeface="Times New Roman CE"/>
                <a:cs typeface="Times New Roman CE"/>
              </a:defRPr>
            </a:pPr>
            <a:endParaRPr lang="cs-CZ"/>
          </a:p>
        </c:txPr>
        <c:crossAx val="8967936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9679360"/>
        <c:scaling>
          <c:orientation val="minMax"/>
          <c:max val="1"/>
          <c:min val="0"/>
        </c:scaling>
        <c:delete val="0"/>
        <c:axPos val="l"/>
        <c:numFmt formatCode="0%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 CE"/>
                <a:ea typeface="Times New Roman CE"/>
                <a:cs typeface="Times New Roman CE"/>
              </a:defRPr>
            </a:pPr>
            <a:endParaRPr lang="cs-CZ"/>
          </a:p>
        </c:txPr>
        <c:crossAx val="89677824"/>
        <c:crosses val="autoZero"/>
        <c:crossBetween val="between"/>
        <c:majorUnit val="0.2"/>
      </c:valAx>
      <c:spPr>
        <a:solidFill>
          <a:srgbClr val="FFFFFF"/>
        </a:solidFill>
        <a:ln w="3172">
          <a:solidFill>
            <a:srgbClr val="00000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9.989049347611921E-2"/>
          <c:y val="0.89126203827101524"/>
          <c:w val="0.81345868340523042"/>
          <c:h val="9.2891687591076563E-2"/>
        </c:manualLayout>
      </c:layout>
      <c:overlay val="0"/>
      <c:spPr>
        <a:noFill/>
        <a:ln w="3172">
          <a:noFill/>
          <a:prstDash val="solid"/>
        </a:ln>
      </c:spPr>
      <c:txPr>
        <a:bodyPr/>
        <a:lstStyle/>
        <a:p>
          <a:pPr>
            <a:defRPr sz="1200" b="0" i="0" u="none" strike="noStrike" baseline="0">
              <a:solidFill>
                <a:srgbClr val="000000"/>
              </a:solidFill>
              <a:latin typeface="Times New Roman CE"/>
              <a:ea typeface="Times New Roman CE"/>
              <a:cs typeface="Times New Roman CE"/>
            </a:defRPr>
          </a:pPr>
          <a:endParaRPr lang="cs-CZ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9" b="0" i="0" u="none" strike="noStrike" baseline="0">
          <a:solidFill>
            <a:srgbClr val="000000"/>
          </a:solidFill>
          <a:latin typeface="Times New Roman CE"/>
          <a:ea typeface="Times New Roman CE"/>
          <a:cs typeface="Times New Roman CE"/>
        </a:defRPr>
      </a:pPr>
      <a:endParaRPr lang="cs-CZ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cs-CZ" sz="1200" dirty="0" smtClean="0"/>
              <a:t>Rozdíly mezi sympatizanty politických stran</a:t>
            </a:r>
            <a:endParaRPr lang="cs-CZ" sz="1200" dirty="0"/>
          </a:p>
        </c:rich>
      </c:tx>
      <c:layout/>
      <c:overlay val="0"/>
    </c:title>
    <c:autoTitleDeleted val="0"/>
    <c:plotArea>
      <c:layout>
        <c:manualLayout>
          <c:layoutTarget val="inner"/>
          <c:xMode val="edge"/>
          <c:yMode val="edge"/>
          <c:x val="7.2594797726613772E-2"/>
          <c:y val="0.13627768466529014"/>
          <c:w val="0.92740095750226348"/>
          <c:h val="0.63180173852348687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Určitě+spíše ano</c:v>
                </c:pt>
              </c:strCache>
            </c:strRef>
          </c:tx>
          <c:spPr>
            <a:solidFill>
              <a:srgbClr val="CC0066"/>
            </a:solidFill>
            <a:ln w="12687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6583408426770639E-3"/>
                  <c:y val="1.4357938129848167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380354455390308E-4"/>
                  <c:y val="5.6677311473760971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5403683044278974E-4"/>
                  <c:y val="3.1595117850802606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434117796129328E-3"/>
                  <c:y val="-2.6380202814108619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5373">
                <a:noFill/>
              </a:ln>
            </c:spPr>
            <c:txPr>
              <a:bodyPr/>
              <a:lstStyle/>
              <a:p>
                <a:pPr algn="r">
                  <a:defRPr sz="1200" b="0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Sheet1!$A$2:$A$9</c:f>
              <c:strCache>
                <c:ptCount val="8"/>
                <c:pt idx="0">
                  <c:v>ANO</c:v>
                </c:pt>
                <c:pt idx="1">
                  <c:v>KSČM</c:v>
                </c:pt>
                <c:pt idx="2">
                  <c:v>ČSSD</c:v>
                </c:pt>
                <c:pt idx="3">
                  <c:v>Piráti</c:v>
                </c:pt>
                <c:pt idx="4">
                  <c:v>SPD</c:v>
                </c:pt>
                <c:pt idx="5">
                  <c:v>KDU</c:v>
                </c:pt>
                <c:pt idx="6">
                  <c:v>TOP09+STAN</c:v>
                </c:pt>
                <c:pt idx="7">
                  <c:v>ODS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87</c:v>
                </c:pt>
                <c:pt idx="1">
                  <c:v>75</c:v>
                </c:pt>
                <c:pt idx="2">
                  <c:v>74</c:v>
                </c:pt>
                <c:pt idx="3">
                  <c:v>64</c:v>
                </c:pt>
                <c:pt idx="4">
                  <c:v>60</c:v>
                </c:pt>
                <c:pt idx="5">
                  <c:v>58</c:v>
                </c:pt>
                <c:pt idx="6">
                  <c:v>41</c:v>
                </c:pt>
                <c:pt idx="7">
                  <c:v>36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Určitě+spíše ne</c:v>
                </c:pt>
              </c:strCache>
            </c:strRef>
          </c:tx>
          <c:spPr>
            <a:solidFill>
              <a:srgbClr val="00CCFF"/>
            </a:solidFill>
            <a:ln w="12687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4.3417581879287191E-4"/>
                  <c:y val="-6.3892790388301972E-4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3435657475406796E-4"/>
                  <c:y val="-3.5107507762087682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9783686768260012E-4"/>
                  <c:y val="-1.383460896202402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2572804434160634E-3"/>
                  <c:y val="2.8395172597943601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5373">
                <a:noFill/>
              </a:ln>
            </c:spPr>
            <c:txPr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Sheet1!$A$2:$A$9</c:f>
              <c:strCache>
                <c:ptCount val="8"/>
                <c:pt idx="0">
                  <c:v>ANO</c:v>
                </c:pt>
                <c:pt idx="1">
                  <c:v>KSČM</c:v>
                </c:pt>
                <c:pt idx="2">
                  <c:v>ČSSD</c:v>
                </c:pt>
                <c:pt idx="3">
                  <c:v>Piráti</c:v>
                </c:pt>
                <c:pt idx="4">
                  <c:v>SPD</c:v>
                </c:pt>
                <c:pt idx="5">
                  <c:v>KDU</c:v>
                </c:pt>
                <c:pt idx="6">
                  <c:v>TOP09+STAN</c:v>
                </c:pt>
                <c:pt idx="7">
                  <c:v>ODS</c:v>
                </c:pt>
              </c:strCache>
            </c:strRef>
          </c:cat>
          <c:val>
            <c:numRef>
              <c:f>Sheet1!$C$2:$C$9</c:f>
              <c:numCache>
                <c:formatCode>General</c:formatCode>
                <c:ptCount val="8"/>
                <c:pt idx="0">
                  <c:v>13</c:v>
                </c:pt>
                <c:pt idx="1">
                  <c:v>25</c:v>
                </c:pt>
                <c:pt idx="2">
                  <c:v>26</c:v>
                </c:pt>
                <c:pt idx="3">
                  <c:v>36</c:v>
                </c:pt>
                <c:pt idx="4">
                  <c:v>40</c:v>
                </c:pt>
                <c:pt idx="5">
                  <c:v>42</c:v>
                </c:pt>
                <c:pt idx="6">
                  <c:v>59</c:v>
                </c:pt>
                <c:pt idx="7">
                  <c:v>64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1"/>
        <c:overlap val="100"/>
        <c:axId val="95033984"/>
        <c:axId val="95035776"/>
      </c:barChart>
      <c:catAx>
        <c:axId val="950339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Times New Roman CE"/>
                <a:ea typeface="Times New Roman CE"/>
                <a:cs typeface="Times New Roman CE"/>
              </a:defRPr>
            </a:pPr>
            <a:endParaRPr lang="cs-CZ"/>
          </a:p>
        </c:txPr>
        <c:crossAx val="9503577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5035776"/>
        <c:scaling>
          <c:orientation val="minMax"/>
          <c:max val="1"/>
          <c:min val="0"/>
        </c:scaling>
        <c:delete val="0"/>
        <c:axPos val="l"/>
        <c:numFmt formatCode="0%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 CE"/>
                <a:ea typeface="Times New Roman CE"/>
                <a:cs typeface="Times New Roman CE"/>
              </a:defRPr>
            </a:pPr>
            <a:endParaRPr lang="cs-CZ"/>
          </a:p>
        </c:txPr>
        <c:crossAx val="95033984"/>
        <c:crosses val="autoZero"/>
        <c:crossBetween val="between"/>
        <c:majorUnit val="0.2"/>
      </c:valAx>
      <c:spPr>
        <a:solidFill>
          <a:srgbClr val="FFFFFF"/>
        </a:solidFill>
        <a:ln w="3172">
          <a:solidFill>
            <a:srgbClr val="00000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9.989049347611921E-2"/>
          <c:y val="0.89126203827101524"/>
          <c:w val="0.81345868340523042"/>
          <c:h val="9.2891687591076563E-2"/>
        </c:manualLayout>
      </c:layout>
      <c:overlay val="0"/>
      <c:spPr>
        <a:noFill/>
        <a:ln w="3172">
          <a:noFill/>
          <a:prstDash val="solid"/>
        </a:ln>
      </c:spPr>
      <c:txPr>
        <a:bodyPr/>
        <a:lstStyle/>
        <a:p>
          <a:pPr>
            <a:defRPr sz="1200" b="0" i="0" u="none" strike="noStrike" baseline="0">
              <a:solidFill>
                <a:srgbClr val="000000"/>
              </a:solidFill>
              <a:latin typeface="Times New Roman CE"/>
              <a:ea typeface="Times New Roman CE"/>
              <a:cs typeface="Times New Roman CE"/>
            </a:defRPr>
          </a:pPr>
          <a:endParaRPr lang="cs-CZ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9" b="0" i="0" u="none" strike="noStrike" baseline="0">
          <a:solidFill>
            <a:srgbClr val="000000"/>
          </a:solidFill>
          <a:latin typeface="Times New Roman CE"/>
          <a:ea typeface="Times New Roman CE"/>
          <a:cs typeface="Times New Roman CE"/>
        </a:defRPr>
      </a:pPr>
      <a:endParaRPr lang="cs-CZ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20"/>
      <c:hPercent val="80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092556680210134"/>
          <c:y val="0.27702024353137034"/>
          <c:w val="0.66579122657006362"/>
          <c:h val="0.6363578192281002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000080"/>
            </a:solidFill>
            <a:ln w="12697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FF0000"/>
              </a:solidFill>
              <a:ln w="12697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FF8080"/>
              </a:solidFill>
              <a:ln w="12697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339966"/>
              </a:solidFill>
              <a:ln w="12697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6.7356332243315623E-2"/>
                  <c:y val="-0.10211942199272146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21861350381024852"/>
                  <c:y val="-0.10430437874442838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5.657127502456815E-2"/>
                  <c:y val="-0.46202283065225236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5.4451293350621766E-2"/>
                  <c:y val="-3.3277876641222046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Mode val="edge"/>
                  <c:yMode val="edge"/>
                  <c:x val="0.23890784982935201"/>
                  <c:y val="0.13138686131386901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0%" sourceLinked="0"/>
            <c:spPr>
              <a:noFill/>
              <a:ln w="25395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endParaRPr lang="cs-CZ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Ano, je jediným důvodem zdražování</c:v>
                </c:pt>
                <c:pt idx="1">
                  <c:v>Ano, ale je jen jedním z více důvodů zdražování</c:v>
                </c:pt>
                <c:pt idx="2">
                  <c:v>Ne, je to jen záminka k případnému zdražování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10</c:v>
                </c:pt>
                <c:pt idx="1">
                  <c:v>33</c:v>
                </c:pt>
                <c:pt idx="2">
                  <c:v>57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0"/>
        </c:dLbls>
      </c:pie3DChart>
      <c:spPr>
        <a:noFill/>
        <a:ln w="25395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100" b="1" i="0" u="none" strike="noStrike" baseline="0">
          <a:solidFill>
            <a:srgbClr val="000000"/>
          </a:solidFill>
          <a:latin typeface="Times New Roman CE"/>
          <a:ea typeface="Times New Roman CE"/>
          <a:cs typeface="Times New Roman CE"/>
        </a:defRPr>
      </a:pPr>
      <a:endParaRPr lang="cs-CZ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20"/>
      <c:hPercent val="80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4899425041925676"/>
          <c:y val="0.20696390223949279"/>
          <c:w val="0.69624573378839605"/>
          <c:h val="0.66788321167883302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000080"/>
            </a:solidFill>
            <a:ln w="12697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FF0000"/>
              </a:solidFill>
              <a:ln w="12697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FF8080"/>
              </a:solidFill>
              <a:ln w="12697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CCFFFF"/>
              </a:solidFill>
              <a:ln w="12697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6.7356332243315623E-2"/>
                  <c:y val="-0.10211942199272146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3110770303460742E-2"/>
                  <c:y val="4.6316910723919448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1.41769808616746E-2"/>
                  <c:y val="-6.2701587559801597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4.5741035814903547E-2"/>
                  <c:y val="-5.6233126989153552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Mode val="edge"/>
                  <c:yMode val="edge"/>
                  <c:x val="0.23890784982935201"/>
                  <c:y val="0.13138686131386901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0%" sourceLinked="0"/>
            <c:spPr>
              <a:noFill/>
              <a:ln w="25395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endParaRPr lang="cs-CZ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Určitě ano</c:v>
                </c:pt>
                <c:pt idx="1">
                  <c:v>Spíše ano</c:v>
                </c:pt>
                <c:pt idx="2">
                  <c:v>Spíše ne</c:v>
                </c:pt>
                <c:pt idx="3">
                  <c:v>Určitě ne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19</c:v>
                </c:pt>
                <c:pt idx="1">
                  <c:v>36</c:v>
                </c:pt>
                <c:pt idx="2">
                  <c:v>29</c:v>
                </c:pt>
                <c:pt idx="3">
                  <c:v>16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0"/>
        </c:dLbls>
      </c:pie3DChart>
      <c:spPr>
        <a:noFill/>
        <a:ln w="25395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100" b="1" i="0" u="none" strike="noStrike" baseline="0">
          <a:solidFill>
            <a:srgbClr val="000000"/>
          </a:solidFill>
          <a:latin typeface="Times New Roman CE"/>
          <a:ea typeface="Times New Roman CE"/>
          <a:cs typeface="Times New Roman CE"/>
        </a:defRPr>
      </a:pPr>
      <a:endParaRPr lang="cs-CZ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cs-CZ" sz="1200" dirty="0" smtClean="0"/>
              <a:t>Rozdíly mezi sympatizanty politických stran</a:t>
            </a:r>
            <a:endParaRPr lang="cs-CZ" sz="1200" dirty="0"/>
          </a:p>
        </c:rich>
      </c:tx>
      <c:layout>
        <c:manualLayout>
          <c:xMode val="edge"/>
          <c:yMode val="edge"/>
          <c:x val="0.29516110696838793"/>
          <c:y val="4.7053999906816399E-3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7.6160187758233161E-2"/>
          <c:y val="0.10816309484034176"/>
          <c:w val="0.913427069564542"/>
          <c:h val="0.6639597446768859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Určitě+spíše ano</c:v>
                </c:pt>
              </c:strCache>
            </c:strRef>
          </c:tx>
          <c:spPr>
            <a:solidFill>
              <a:srgbClr val="CC0066"/>
            </a:solidFill>
            <a:ln w="12687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6583408426770639E-3"/>
                  <c:y val="1.4357938129848167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380354455390308E-4"/>
                  <c:y val="5.6677311473760971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5403683044278974E-4"/>
                  <c:y val="3.1595117850802606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5.4526004487963839E-3"/>
                  <c:y val="-5.0905886255027547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5373">
                <a:noFill/>
              </a:ln>
            </c:spPr>
            <c:txPr>
              <a:bodyPr/>
              <a:lstStyle/>
              <a:p>
                <a:pPr algn="r">
                  <a:defRPr sz="1200" b="0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Sheet1!$A$2:$A$9</c:f>
              <c:strCache>
                <c:ptCount val="8"/>
                <c:pt idx="0">
                  <c:v>ANO</c:v>
                </c:pt>
                <c:pt idx="1">
                  <c:v>ČSSD</c:v>
                </c:pt>
                <c:pt idx="2">
                  <c:v>KSČM</c:v>
                </c:pt>
                <c:pt idx="3">
                  <c:v>Piráti</c:v>
                </c:pt>
                <c:pt idx="4">
                  <c:v>SPD</c:v>
                </c:pt>
                <c:pt idx="5">
                  <c:v>KDU</c:v>
                </c:pt>
                <c:pt idx="6">
                  <c:v>TOP09+STAN</c:v>
                </c:pt>
                <c:pt idx="7">
                  <c:v>ODS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67</c:v>
                </c:pt>
                <c:pt idx="1">
                  <c:v>67</c:v>
                </c:pt>
                <c:pt idx="2">
                  <c:v>60</c:v>
                </c:pt>
                <c:pt idx="3">
                  <c:v>58</c:v>
                </c:pt>
                <c:pt idx="4">
                  <c:v>51</c:v>
                </c:pt>
                <c:pt idx="5">
                  <c:v>45</c:v>
                </c:pt>
                <c:pt idx="6">
                  <c:v>45</c:v>
                </c:pt>
                <c:pt idx="7">
                  <c:v>41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Určitě+spíše ne</c:v>
                </c:pt>
              </c:strCache>
            </c:strRef>
          </c:tx>
          <c:spPr>
            <a:solidFill>
              <a:srgbClr val="00CCFF"/>
            </a:solidFill>
            <a:ln w="12687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5.0253957024463357E-3"/>
                  <c:y val="-9.7629506917053261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5071548705364254E-3"/>
                  <c:y val="-1.5676459357548567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9783686768260012E-4"/>
                  <c:y val="-1.383460896202402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6113730009408144E-3"/>
                  <c:y val="5.758973318696005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25373">
                <a:noFill/>
              </a:ln>
            </c:spPr>
            <c:txPr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Times New Roman CE"/>
                    <a:ea typeface="Times New Roman CE"/>
                    <a:cs typeface="Times New Roman CE"/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Sheet1!$A$2:$A$9</c:f>
              <c:strCache>
                <c:ptCount val="8"/>
                <c:pt idx="0">
                  <c:v>ANO</c:v>
                </c:pt>
                <c:pt idx="1">
                  <c:v>ČSSD</c:v>
                </c:pt>
                <c:pt idx="2">
                  <c:v>KSČM</c:v>
                </c:pt>
                <c:pt idx="3">
                  <c:v>Piráti</c:v>
                </c:pt>
                <c:pt idx="4">
                  <c:v>SPD</c:v>
                </c:pt>
                <c:pt idx="5">
                  <c:v>KDU</c:v>
                </c:pt>
                <c:pt idx="6">
                  <c:v>TOP09+STAN</c:v>
                </c:pt>
                <c:pt idx="7">
                  <c:v>ODS</c:v>
                </c:pt>
              </c:strCache>
            </c:strRef>
          </c:cat>
          <c:val>
            <c:numRef>
              <c:f>Sheet1!$C$2:$C$9</c:f>
              <c:numCache>
                <c:formatCode>General</c:formatCode>
                <c:ptCount val="8"/>
                <c:pt idx="0">
                  <c:v>33</c:v>
                </c:pt>
                <c:pt idx="1">
                  <c:v>33</c:v>
                </c:pt>
                <c:pt idx="2">
                  <c:v>40</c:v>
                </c:pt>
                <c:pt idx="3">
                  <c:v>42</c:v>
                </c:pt>
                <c:pt idx="4">
                  <c:v>49</c:v>
                </c:pt>
                <c:pt idx="5">
                  <c:v>55</c:v>
                </c:pt>
                <c:pt idx="6">
                  <c:v>55</c:v>
                </c:pt>
                <c:pt idx="7">
                  <c:v>59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1"/>
        <c:overlap val="100"/>
        <c:axId val="96759168"/>
        <c:axId val="96777344"/>
      </c:barChart>
      <c:catAx>
        <c:axId val="967591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Times New Roman CE"/>
                <a:ea typeface="Times New Roman CE"/>
                <a:cs typeface="Times New Roman CE"/>
              </a:defRPr>
            </a:pPr>
            <a:endParaRPr lang="cs-CZ"/>
          </a:p>
        </c:txPr>
        <c:crossAx val="9677734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6777344"/>
        <c:scaling>
          <c:orientation val="minMax"/>
          <c:max val="1"/>
          <c:min val="0"/>
        </c:scaling>
        <c:delete val="0"/>
        <c:axPos val="l"/>
        <c:numFmt formatCode="0%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 CE"/>
                <a:ea typeface="Times New Roman CE"/>
                <a:cs typeface="Times New Roman CE"/>
              </a:defRPr>
            </a:pPr>
            <a:endParaRPr lang="cs-CZ"/>
          </a:p>
        </c:txPr>
        <c:crossAx val="96759168"/>
        <c:crosses val="autoZero"/>
        <c:crossBetween val="between"/>
        <c:majorUnit val="0.2"/>
      </c:valAx>
      <c:spPr>
        <a:solidFill>
          <a:srgbClr val="FFFFFF"/>
        </a:solidFill>
        <a:ln w="3172">
          <a:solidFill>
            <a:srgbClr val="00000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9.989049347611921E-2"/>
          <c:y val="0.89126203827101524"/>
          <c:w val="0.81345868340523042"/>
          <c:h val="9.2891687591076563E-2"/>
        </c:manualLayout>
      </c:layout>
      <c:overlay val="0"/>
      <c:spPr>
        <a:noFill/>
        <a:ln w="3172">
          <a:noFill/>
          <a:prstDash val="solid"/>
        </a:ln>
      </c:spPr>
      <c:txPr>
        <a:bodyPr/>
        <a:lstStyle/>
        <a:p>
          <a:pPr>
            <a:defRPr sz="1200" b="0" i="0" u="none" strike="noStrike" baseline="0">
              <a:solidFill>
                <a:srgbClr val="000000"/>
              </a:solidFill>
              <a:latin typeface="Times New Roman CE"/>
              <a:ea typeface="Times New Roman CE"/>
              <a:cs typeface="Times New Roman CE"/>
            </a:defRPr>
          </a:pPr>
          <a:endParaRPr lang="cs-CZ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9" b="0" i="0" u="none" strike="noStrike" baseline="0">
          <a:solidFill>
            <a:srgbClr val="000000"/>
          </a:solidFill>
          <a:latin typeface="Times New Roman CE"/>
          <a:ea typeface="Times New Roman CE"/>
          <a:cs typeface="Times New Roman CE"/>
        </a:defRPr>
      </a:pPr>
      <a:endParaRPr lang="cs-CZ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47374783258209402"/>
          <c:y val="3.7312344119060398E-2"/>
          <c:w val="0.50710945311632039"/>
          <c:h val="0.81631283239625407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Ano</c:v>
                </c:pt>
              </c:strCache>
            </c:strRef>
          </c:tx>
          <c:spPr>
            <a:solidFill>
              <a:srgbClr val="FF3300"/>
            </a:solidFill>
            <a:ln w="18615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solidFill>
                <a:srgbClr val="FFFFFF"/>
              </a:solidFill>
              <a:ln w="37230">
                <a:noFill/>
              </a:ln>
            </c:spPr>
            <c:txPr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Rádiové reklamní spoty</c:v>
                </c:pt>
                <c:pt idx="1">
                  <c:v>Inzeráty v tisku</c:v>
                </c:pt>
                <c:pt idx="2">
                  <c:v>Bannery na internetu</c:v>
                </c:pt>
                <c:pt idx="3">
                  <c:v>Televizní reklamní spoty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27</c:v>
                </c:pt>
                <c:pt idx="1">
                  <c:v>28</c:v>
                </c:pt>
                <c:pt idx="2">
                  <c:v>40</c:v>
                </c:pt>
                <c:pt idx="3">
                  <c:v>60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Ne</c:v>
                </c:pt>
              </c:strCache>
            </c:strRef>
          </c:tx>
          <c:spPr>
            <a:solidFill>
              <a:srgbClr val="99FFCC"/>
            </a:solidFill>
            <a:ln>
              <a:solidFill>
                <a:srgbClr val="000000"/>
              </a:solidFill>
            </a:ln>
          </c:spPr>
          <c:invertIfNegative val="0"/>
          <c:dLbls>
            <c:spPr>
              <a:solidFill>
                <a:schemeClr val="bg1"/>
              </a:solidFill>
            </c:spPr>
            <c:txPr>
              <a:bodyPr/>
              <a:lstStyle/>
              <a:p>
                <a:pPr>
                  <a:defRPr sz="1200" b="0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Rádiové reklamní spoty</c:v>
                </c:pt>
                <c:pt idx="1">
                  <c:v>Inzeráty v tisku</c:v>
                </c:pt>
                <c:pt idx="2">
                  <c:v>Bannery na internetu</c:v>
                </c:pt>
                <c:pt idx="3">
                  <c:v>Televizní reklamní spoty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73</c:v>
                </c:pt>
                <c:pt idx="1">
                  <c:v>72</c:v>
                </c:pt>
                <c:pt idx="2">
                  <c:v>60</c:v>
                </c:pt>
                <c:pt idx="3">
                  <c:v>40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86"/>
        <c:overlap val="100"/>
        <c:axId val="96914048"/>
        <c:axId val="96534912"/>
      </c:barChart>
      <c:catAx>
        <c:axId val="9691404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465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cs-CZ"/>
          </a:p>
        </c:txPr>
        <c:crossAx val="96534912"/>
        <c:crosses val="autoZero"/>
        <c:auto val="1"/>
        <c:lblAlgn val="ctr"/>
        <c:lblOffset val="100"/>
        <c:noMultiLvlLbl val="0"/>
      </c:catAx>
      <c:valAx>
        <c:axId val="96534912"/>
        <c:scaling>
          <c:orientation val="minMax"/>
          <c:max val="100"/>
        </c:scaling>
        <c:delete val="1"/>
        <c:axPos val="b"/>
        <c:numFmt formatCode="General" sourceLinked="1"/>
        <c:majorTickMark val="out"/>
        <c:minorTickMark val="none"/>
        <c:tickLblPos val="none"/>
        <c:crossAx val="96914048"/>
        <c:crosses val="autoZero"/>
        <c:crossBetween val="between"/>
        <c:majorUnit val="25"/>
      </c:valAx>
      <c:spPr>
        <a:noFill/>
        <a:ln w="18615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8.6412098664290421E-2"/>
          <c:y val="0.87768912786830444"/>
          <c:w val="0.19605423306140587"/>
          <c:h val="8.268629044521586E-2"/>
        </c:manualLayout>
      </c:layout>
      <c:overlay val="0"/>
      <c:spPr>
        <a:ln>
          <a:noFill/>
        </a:ln>
      </c:spPr>
      <c:txPr>
        <a:bodyPr/>
        <a:lstStyle/>
        <a:p>
          <a:pPr>
            <a:defRPr sz="1200"/>
          </a:pPr>
          <a:endParaRPr lang="cs-CZ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73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cs-CZ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2C8FF-3C54-4A48-8017-48F4FD2B2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655</Words>
  <Characters>3967</Characters>
  <Application>Microsoft Office Word</Application>
  <DocSecurity>4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VEŘEJNOST JE PŘÍZNIVĚ NAKLONĚNA</vt:lpstr>
    </vt:vector>
  </TitlesOfParts>
  <Company>Acer</Company>
  <LinksUpToDate>false</LinksUpToDate>
  <CharactersWithSpaces>4613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VEŘEJNOST JE PŘÍZNIVĚ NAKLONĚNA</dc:title>
  <dc:creator>Valued Acer Customer</dc:creator>
  <cp:lastModifiedBy>Bloudková Kateřina Mgr. (GFŘ)</cp:lastModifiedBy>
  <cp:revision>2</cp:revision>
  <cp:lastPrinted>2017-01-03T08:32:00Z</cp:lastPrinted>
  <dcterms:created xsi:type="dcterms:W3CDTF">2017-02-08T06:50:00Z</dcterms:created>
  <dcterms:modified xsi:type="dcterms:W3CDTF">2017-02-08T06:50:00Z</dcterms:modified>
</cp:coreProperties>
</file>