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94C" w:rsidRPr="0047484F" w:rsidRDefault="0042294C" w:rsidP="0042294C">
      <w:pPr>
        <w:pStyle w:val="Zkladntext"/>
        <w:spacing w:after="120"/>
        <w:ind w:left="142"/>
        <w:jc w:val="center"/>
        <w:rPr>
          <w:b/>
          <w:i w:val="0"/>
          <w:smallCaps/>
          <w:sz w:val="32"/>
          <w:szCs w:val="32"/>
        </w:rPr>
      </w:pPr>
      <w:r>
        <w:rPr>
          <w:b/>
          <w:i w:val="0"/>
          <w:smallCaps/>
          <w:sz w:val="32"/>
          <w:szCs w:val="32"/>
        </w:rPr>
        <w:t>Dvě třetiny v</w:t>
      </w:r>
      <w:r w:rsidR="00385423" w:rsidRPr="0047484F">
        <w:rPr>
          <w:b/>
          <w:i w:val="0"/>
          <w:smallCaps/>
          <w:sz w:val="32"/>
          <w:szCs w:val="32"/>
        </w:rPr>
        <w:t>eřejnost</w:t>
      </w:r>
      <w:r>
        <w:rPr>
          <w:b/>
          <w:i w:val="0"/>
          <w:smallCaps/>
          <w:sz w:val="32"/>
          <w:szCs w:val="32"/>
        </w:rPr>
        <w:t>i považují zavedení elektronické evidence tržeb za pozitivní opatření</w:t>
      </w:r>
    </w:p>
    <w:p w:rsidR="0042294C" w:rsidRDefault="0042294C" w:rsidP="00D56BA7">
      <w:pPr>
        <w:pStyle w:val="Zkladntext"/>
        <w:spacing w:after="120"/>
        <w:ind w:left="142"/>
        <w:rPr>
          <w:sz w:val="24"/>
          <w:szCs w:val="24"/>
        </w:rPr>
      </w:pPr>
    </w:p>
    <w:p w:rsidR="00E774BC" w:rsidRDefault="00385423" w:rsidP="00353746">
      <w:pPr>
        <w:pStyle w:val="Zkladntext"/>
        <w:spacing w:after="240"/>
        <w:ind w:left="142"/>
        <w:rPr>
          <w:sz w:val="24"/>
          <w:szCs w:val="24"/>
        </w:rPr>
      </w:pPr>
      <w:r w:rsidRPr="00F224CF">
        <w:rPr>
          <w:sz w:val="24"/>
          <w:szCs w:val="24"/>
        </w:rPr>
        <w:t xml:space="preserve">Ve dnech </w:t>
      </w:r>
      <w:r w:rsidR="00E774BC">
        <w:rPr>
          <w:sz w:val="24"/>
          <w:szCs w:val="24"/>
        </w:rPr>
        <w:t>9</w:t>
      </w:r>
      <w:r w:rsidR="00293CF5">
        <w:rPr>
          <w:sz w:val="24"/>
          <w:szCs w:val="24"/>
        </w:rPr>
        <w:t>.</w:t>
      </w:r>
      <w:r w:rsidR="00E774BC">
        <w:rPr>
          <w:sz w:val="24"/>
          <w:szCs w:val="24"/>
        </w:rPr>
        <w:t xml:space="preserve"> </w:t>
      </w:r>
      <w:r w:rsidRPr="00F224CF">
        <w:rPr>
          <w:sz w:val="24"/>
          <w:szCs w:val="24"/>
        </w:rPr>
        <w:t>-</w:t>
      </w:r>
      <w:r w:rsidR="00E774BC">
        <w:rPr>
          <w:sz w:val="24"/>
          <w:szCs w:val="24"/>
        </w:rPr>
        <w:t xml:space="preserve"> 13</w:t>
      </w:r>
      <w:r w:rsidRPr="00F224CF">
        <w:rPr>
          <w:sz w:val="24"/>
          <w:szCs w:val="24"/>
        </w:rPr>
        <w:t>.</w:t>
      </w:r>
      <w:r w:rsidR="00E774BC">
        <w:rPr>
          <w:sz w:val="24"/>
          <w:szCs w:val="24"/>
        </w:rPr>
        <w:t xml:space="preserve"> 5.</w:t>
      </w:r>
      <w:r w:rsidRPr="00F224CF">
        <w:rPr>
          <w:sz w:val="24"/>
          <w:szCs w:val="24"/>
        </w:rPr>
        <w:t xml:space="preserve"> 201</w:t>
      </w:r>
      <w:r w:rsidR="00E774BC">
        <w:rPr>
          <w:sz w:val="24"/>
          <w:szCs w:val="24"/>
        </w:rPr>
        <w:t>6</w:t>
      </w:r>
      <w:r w:rsidRPr="00F224CF">
        <w:rPr>
          <w:sz w:val="24"/>
          <w:szCs w:val="24"/>
        </w:rPr>
        <w:t xml:space="preserve"> STEM provedl pro </w:t>
      </w:r>
      <w:r>
        <w:rPr>
          <w:sz w:val="24"/>
          <w:szCs w:val="24"/>
        </w:rPr>
        <w:t>Generální</w:t>
      </w:r>
      <w:r w:rsidRPr="00F224CF">
        <w:rPr>
          <w:sz w:val="24"/>
          <w:szCs w:val="24"/>
        </w:rPr>
        <w:t xml:space="preserve"> finanční</w:t>
      </w:r>
      <w:r>
        <w:rPr>
          <w:sz w:val="24"/>
          <w:szCs w:val="24"/>
        </w:rPr>
        <w:t xml:space="preserve"> ředitelství</w:t>
      </w:r>
      <w:r w:rsidRPr="00F224CF">
        <w:rPr>
          <w:sz w:val="24"/>
          <w:szCs w:val="24"/>
        </w:rPr>
        <w:t xml:space="preserve"> bleskový výzkum, který se zaměřil na názory lidí na elektronickou evidenci tržeb. Reprezentativní soubor obyvatel ČR starších 18 let byl zkoumán kombinací technik CATI a CAW</w:t>
      </w:r>
      <w:r>
        <w:rPr>
          <w:sz w:val="24"/>
          <w:szCs w:val="24"/>
        </w:rPr>
        <w:t>I</w:t>
      </w:r>
      <w:r w:rsidRPr="00F224CF">
        <w:rPr>
          <w:sz w:val="24"/>
          <w:szCs w:val="24"/>
        </w:rPr>
        <w:t xml:space="preserve">. </w:t>
      </w:r>
      <w:r w:rsidR="00E774BC">
        <w:rPr>
          <w:sz w:val="24"/>
          <w:szCs w:val="24"/>
        </w:rPr>
        <w:t>Dotázáno bylo 1010 osob starších 18 let. Statistická chyba činí plus minus 3 procentní body při rozložení odpovědí 60:40 v celém výběrovém souboru.</w:t>
      </w:r>
    </w:p>
    <w:p w:rsidR="00E774BC" w:rsidRDefault="00385423" w:rsidP="00322E78">
      <w:pPr>
        <w:pStyle w:val="Zkladntext"/>
        <w:spacing w:after="240" w:line="288" w:lineRule="auto"/>
        <w:rPr>
          <w:i w:val="0"/>
          <w:sz w:val="24"/>
          <w:szCs w:val="24"/>
        </w:rPr>
      </w:pPr>
      <w:r w:rsidRPr="00F224CF">
        <w:rPr>
          <w:i w:val="0"/>
          <w:sz w:val="24"/>
          <w:szCs w:val="24"/>
        </w:rPr>
        <w:t>Aktuální sociologický výzkum, který STEM vypracoval na základě zadání</w:t>
      </w:r>
      <w:r>
        <w:rPr>
          <w:i w:val="0"/>
          <w:sz w:val="24"/>
          <w:szCs w:val="24"/>
        </w:rPr>
        <w:t xml:space="preserve"> Generálního finančního ředitelství</w:t>
      </w:r>
      <w:r w:rsidRPr="00F224CF">
        <w:rPr>
          <w:i w:val="0"/>
          <w:sz w:val="24"/>
          <w:szCs w:val="24"/>
        </w:rPr>
        <w:t xml:space="preserve">, </w:t>
      </w:r>
      <w:r w:rsidR="00E774BC">
        <w:rPr>
          <w:i w:val="0"/>
          <w:sz w:val="24"/>
          <w:szCs w:val="24"/>
        </w:rPr>
        <w:t>zjišťoval</w:t>
      </w:r>
      <w:r w:rsidRPr="00F224CF">
        <w:rPr>
          <w:i w:val="0"/>
          <w:sz w:val="24"/>
          <w:szCs w:val="24"/>
        </w:rPr>
        <w:t xml:space="preserve"> názory veřejnosti na elektronickou evidenci tržeb. </w:t>
      </w:r>
    </w:p>
    <w:p w:rsidR="00E774BC" w:rsidRDefault="00E774BC" w:rsidP="00322E78">
      <w:pPr>
        <w:pStyle w:val="Zkladntext"/>
        <w:spacing w:after="240" w:line="288" w:lineRule="auto"/>
        <w:rPr>
          <w:i w:val="0"/>
          <w:sz w:val="24"/>
          <w:szCs w:val="24"/>
        </w:rPr>
      </w:pPr>
      <w:r>
        <w:rPr>
          <w:i w:val="0"/>
          <w:sz w:val="24"/>
          <w:szCs w:val="24"/>
        </w:rPr>
        <w:t>Téměř dvoutřetinová většina občanů (63 %) považuje zavedení elektronické evidence tržeb za pozitivní opatření. Mezi voliči v</w:t>
      </w:r>
      <w:bookmarkStart w:id="0" w:name="_GoBack"/>
      <w:bookmarkEnd w:id="0"/>
      <w:r>
        <w:rPr>
          <w:i w:val="0"/>
          <w:sz w:val="24"/>
          <w:szCs w:val="24"/>
        </w:rPr>
        <w:t>ládních koaličních stran je podpora jednoznačná (především u stoupenců ANO a ČSSD), ale i mezi sympatizanty ODS a TOP 09 je třetinový podíl těch, kteří EET označují za pozitivní opatření.</w:t>
      </w:r>
    </w:p>
    <w:p w:rsidR="00E774BC" w:rsidRPr="00E774BC" w:rsidRDefault="00E774BC" w:rsidP="00E774BC">
      <w:pPr>
        <w:pStyle w:val="Zkladntext3"/>
        <w:spacing w:line="240" w:lineRule="auto"/>
        <w:jc w:val="center"/>
        <w:rPr>
          <w:rFonts w:ascii="Times New Roman" w:hAnsi="Times New Roman"/>
          <w:b/>
          <w:bCs/>
          <w:i/>
          <w:iCs/>
          <w:sz w:val="24"/>
          <w:szCs w:val="24"/>
        </w:rPr>
      </w:pPr>
      <w:r w:rsidRPr="00E774BC">
        <w:rPr>
          <w:rFonts w:ascii="Times New Roman" w:hAnsi="Times New Roman"/>
          <w:bCs/>
          <w:i/>
          <w:sz w:val="24"/>
          <w:szCs w:val="24"/>
        </w:rPr>
        <w:t xml:space="preserve">„Když zvážíte všechny okolnosti pro a proti elektronické evidence tržeb, </w:t>
      </w:r>
      <w:r w:rsidRPr="00E774BC">
        <w:rPr>
          <w:rFonts w:ascii="Times New Roman" w:hAnsi="Times New Roman"/>
          <w:bCs/>
          <w:i/>
          <w:sz w:val="24"/>
          <w:szCs w:val="24"/>
        </w:rPr>
        <w:br/>
        <w:t>je její zavedení podle Vás:“</w:t>
      </w:r>
    </w:p>
    <w:p w:rsidR="00E774BC" w:rsidRDefault="00E774BC" w:rsidP="00353746">
      <w:pPr>
        <w:rPr>
          <w:i/>
          <w:sz w:val="24"/>
          <w:szCs w:val="24"/>
        </w:rPr>
      </w:pPr>
      <w:r>
        <w:rPr>
          <w:b/>
          <w:noProof/>
          <w:color w:val="FF0000"/>
          <w:lang w:eastAsia="cs-CZ"/>
        </w:rPr>
        <w:drawing>
          <wp:inline distT="0" distB="0" distL="0" distR="0" wp14:anchorId="33FBBE82" wp14:editId="5BC84E54">
            <wp:extent cx="5755341" cy="2028585"/>
            <wp:effectExtent l="0" t="0" r="0" b="0"/>
            <wp:docPr id="15" name="objekt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3745" w:rsidRDefault="00CC3745" w:rsidP="00322E78">
      <w:pPr>
        <w:pStyle w:val="Zkladntext"/>
        <w:spacing w:after="240" w:line="288" w:lineRule="auto"/>
        <w:rPr>
          <w:i w:val="0"/>
          <w:sz w:val="24"/>
          <w:szCs w:val="24"/>
        </w:rPr>
      </w:pPr>
      <w:r>
        <w:rPr>
          <w:i w:val="0"/>
          <w:sz w:val="24"/>
          <w:szCs w:val="24"/>
        </w:rPr>
        <w:t xml:space="preserve">Dvě pětiny občanů vědí o elektronické evidenci tržeb, co potřebují. Více než třetina občanů se chce o evidenci tržeb dozvědět více. </w:t>
      </w:r>
    </w:p>
    <w:p w:rsidR="00CC3745" w:rsidRPr="00CC3745" w:rsidRDefault="00CC3745" w:rsidP="00CC3745">
      <w:pPr>
        <w:pStyle w:val="Zkladntext3"/>
        <w:spacing w:line="240" w:lineRule="auto"/>
        <w:jc w:val="center"/>
        <w:rPr>
          <w:rFonts w:ascii="Times New Roman" w:hAnsi="Times New Roman"/>
          <w:bCs/>
          <w:i/>
          <w:sz w:val="24"/>
          <w:szCs w:val="24"/>
        </w:rPr>
      </w:pPr>
      <w:r w:rsidRPr="00CC3745">
        <w:rPr>
          <w:rFonts w:ascii="Times New Roman" w:hAnsi="Times New Roman"/>
          <w:bCs/>
          <w:i/>
          <w:sz w:val="24"/>
          <w:szCs w:val="24"/>
        </w:rPr>
        <w:t>„</w:t>
      </w:r>
      <w:proofErr w:type="gramStart"/>
      <w:r w:rsidRPr="00CC3745">
        <w:rPr>
          <w:rFonts w:ascii="Times New Roman" w:hAnsi="Times New Roman"/>
          <w:bCs/>
          <w:i/>
          <w:sz w:val="24"/>
          <w:szCs w:val="24"/>
        </w:rPr>
        <w:t>Řekl(a) byste</w:t>
      </w:r>
      <w:proofErr w:type="gramEnd"/>
      <w:r w:rsidRPr="00CC3745">
        <w:rPr>
          <w:rFonts w:ascii="Times New Roman" w:hAnsi="Times New Roman"/>
          <w:bCs/>
          <w:i/>
          <w:sz w:val="24"/>
          <w:szCs w:val="24"/>
        </w:rPr>
        <w:t>, že o elektronické evidenci tržeb:“</w:t>
      </w:r>
    </w:p>
    <w:p w:rsidR="00CC3745" w:rsidRDefault="00CC3745" w:rsidP="00CC3745">
      <w:pPr>
        <w:rPr>
          <w:b/>
          <w:color w:val="FF0000"/>
        </w:rPr>
      </w:pPr>
      <w:r>
        <w:rPr>
          <w:b/>
          <w:noProof/>
          <w:color w:val="FF0000"/>
          <w:lang w:eastAsia="cs-CZ"/>
        </w:rPr>
        <w:drawing>
          <wp:inline distT="0" distB="0" distL="0" distR="0" wp14:anchorId="5C421A8E" wp14:editId="6F01A541">
            <wp:extent cx="5678501" cy="2274474"/>
            <wp:effectExtent l="0" t="0" r="0" b="0"/>
            <wp:docPr id="45" name="objekt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3745" w:rsidRDefault="00CC3745" w:rsidP="00322E78">
      <w:pPr>
        <w:pStyle w:val="Zkladntext"/>
        <w:spacing w:after="240" w:line="288" w:lineRule="auto"/>
        <w:rPr>
          <w:i w:val="0"/>
          <w:sz w:val="24"/>
          <w:szCs w:val="24"/>
        </w:rPr>
      </w:pPr>
      <w:r>
        <w:rPr>
          <w:i w:val="0"/>
          <w:sz w:val="24"/>
          <w:szCs w:val="24"/>
        </w:rPr>
        <w:lastRenderedPageBreak/>
        <w:t xml:space="preserve">Dvoutřetinová většina lidí </w:t>
      </w:r>
      <w:r w:rsidR="005D4611">
        <w:rPr>
          <w:i w:val="0"/>
          <w:sz w:val="24"/>
          <w:szCs w:val="24"/>
        </w:rPr>
        <w:t xml:space="preserve">(67 %) </w:t>
      </w:r>
      <w:r>
        <w:rPr>
          <w:i w:val="0"/>
          <w:sz w:val="24"/>
          <w:szCs w:val="24"/>
        </w:rPr>
        <w:t>očekává, že elektronická evidence tržeb zlepší výběr daní od obchodníků a poskytovatelů služeb.</w:t>
      </w:r>
    </w:p>
    <w:p w:rsidR="00CC3745" w:rsidRPr="00CC3745" w:rsidRDefault="00CC3745" w:rsidP="00CC3745">
      <w:pPr>
        <w:pStyle w:val="Zkladntext3"/>
        <w:spacing w:line="240" w:lineRule="auto"/>
        <w:jc w:val="center"/>
        <w:rPr>
          <w:rFonts w:ascii="Times New Roman" w:hAnsi="Times New Roman"/>
          <w:bCs/>
          <w:i/>
          <w:sz w:val="24"/>
          <w:szCs w:val="24"/>
        </w:rPr>
      </w:pPr>
      <w:r w:rsidRPr="00CC3745">
        <w:rPr>
          <w:rFonts w:ascii="Times New Roman" w:hAnsi="Times New Roman"/>
          <w:bCs/>
          <w:i/>
          <w:sz w:val="24"/>
          <w:szCs w:val="24"/>
        </w:rPr>
        <w:t>„</w:t>
      </w:r>
      <w:r>
        <w:rPr>
          <w:rFonts w:ascii="Times New Roman" w:hAnsi="Times New Roman"/>
          <w:bCs/>
          <w:i/>
          <w:sz w:val="24"/>
          <w:szCs w:val="24"/>
        </w:rPr>
        <w:t xml:space="preserve">Myslíte si, že zavedení </w:t>
      </w:r>
      <w:r w:rsidRPr="00CC3745">
        <w:rPr>
          <w:rFonts w:ascii="Times New Roman" w:hAnsi="Times New Roman"/>
          <w:bCs/>
          <w:i/>
          <w:sz w:val="24"/>
          <w:szCs w:val="24"/>
        </w:rPr>
        <w:t>elektronické evidenc</w:t>
      </w:r>
      <w:r>
        <w:rPr>
          <w:rFonts w:ascii="Times New Roman" w:hAnsi="Times New Roman"/>
          <w:bCs/>
          <w:i/>
          <w:sz w:val="24"/>
          <w:szCs w:val="24"/>
        </w:rPr>
        <w:t>e</w:t>
      </w:r>
      <w:r w:rsidRPr="00CC3745">
        <w:rPr>
          <w:rFonts w:ascii="Times New Roman" w:hAnsi="Times New Roman"/>
          <w:bCs/>
          <w:i/>
          <w:sz w:val="24"/>
          <w:szCs w:val="24"/>
        </w:rPr>
        <w:t xml:space="preserve"> tržeb</w:t>
      </w:r>
      <w:r>
        <w:rPr>
          <w:rFonts w:ascii="Times New Roman" w:hAnsi="Times New Roman"/>
          <w:bCs/>
          <w:i/>
          <w:sz w:val="24"/>
          <w:szCs w:val="24"/>
        </w:rPr>
        <w:t xml:space="preserve"> postupně přispěje ke zlepšení </w:t>
      </w:r>
      <w:r w:rsidRPr="00CC3745">
        <w:rPr>
          <w:rFonts w:ascii="Times New Roman" w:hAnsi="Times New Roman"/>
          <w:bCs/>
          <w:i/>
          <w:sz w:val="24"/>
          <w:szCs w:val="24"/>
          <w:u w:val="single"/>
        </w:rPr>
        <w:t>výběru daní</w:t>
      </w:r>
      <w:r>
        <w:rPr>
          <w:rFonts w:ascii="Times New Roman" w:hAnsi="Times New Roman"/>
          <w:bCs/>
          <w:i/>
          <w:sz w:val="24"/>
          <w:szCs w:val="24"/>
        </w:rPr>
        <w:t xml:space="preserve"> od obchodníků a poskytovatelů služeb?</w:t>
      </w:r>
      <w:r w:rsidRPr="00CC3745">
        <w:rPr>
          <w:rFonts w:ascii="Times New Roman" w:hAnsi="Times New Roman"/>
          <w:bCs/>
          <w:i/>
          <w:sz w:val="24"/>
          <w:szCs w:val="24"/>
        </w:rPr>
        <w:t>“</w:t>
      </w:r>
    </w:p>
    <w:p w:rsidR="00CC3745" w:rsidRDefault="00CC3745" w:rsidP="00CC3745">
      <w:pPr>
        <w:rPr>
          <w:b/>
          <w:color w:val="FF0000"/>
        </w:rPr>
      </w:pPr>
      <w:r>
        <w:rPr>
          <w:b/>
          <w:noProof/>
          <w:color w:val="FF0000"/>
          <w:lang w:eastAsia="cs-CZ"/>
        </w:rPr>
        <w:drawing>
          <wp:inline distT="0" distB="0" distL="0" distR="0" wp14:anchorId="7F81A466" wp14:editId="2B8CD2C5">
            <wp:extent cx="5678501" cy="2151530"/>
            <wp:effectExtent l="0" t="0" r="0" b="0"/>
            <wp:docPr id="1" name="objek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3745" w:rsidRDefault="00CC3745" w:rsidP="00322E78">
      <w:pPr>
        <w:pStyle w:val="Zkladntext"/>
        <w:spacing w:after="240" w:line="288" w:lineRule="auto"/>
        <w:rPr>
          <w:i w:val="0"/>
          <w:sz w:val="24"/>
          <w:szCs w:val="24"/>
        </w:rPr>
      </w:pPr>
    </w:p>
    <w:p w:rsidR="00CC3745" w:rsidRDefault="00BF6F67" w:rsidP="00322E78">
      <w:pPr>
        <w:pStyle w:val="Zkladntext"/>
        <w:spacing w:after="240" w:line="288" w:lineRule="auto"/>
        <w:rPr>
          <w:i w:val="0"/>
          <w:sz w:val="24"/>
          <w:szCs w:val="24"/>
        </w:rPr>
      </w:pPr>
      <w:r>
        <w:rPr>
          <w:i w:val="0"/>
          <w:sz w:val="24"/>
          <w:szCs w:val="24"/>
        </w:rPr>
        <w:t xml:space="preserve">Pohled veřejnosti na daňovou morálku obchodníků se oproti loňskému roku mírně zlepšil. </w:t>
      </w:r>
      <w:r w:rsidRPr="00BF6F67">
        <w:rPr>
          <w:i w:val="0"/>
          <w:sz w:val="24"/>
          <w:szCs w:val="24"/>
        </w:rPr>
        <w:t xml:space="preserve">Téměř polovina veřejnosti </w:t>
      </w:r>
      <w:r>
        <w:rPr>
          <w:i w:val="0"/>
          <w:sz w:val="24"/>
          <w:szCs w:val="24"/>
        </w:rPr>
        <w:t xml:space="preserve">nyní </w:t>
      </w:r>
      <w:r w:rsidRPr="00BF6F67">
        <w:rPr>
          <w:i w:val="0"/>
          <w:sz w:val="24"/>
          <w:szCs w:val="24"/>
        </w:rPr>
        <w:t>považuje daňovou morálku obchodníků, prodejců zboží a služeb v České republice za dobrou. Tento podíl je vyšší o 9 procentních bodů</w:t>
      </w:r>
      <w:r>
        <w:rPr>
          <w:i w:val="0"/>
          <w:sz w:val="24"/>
          <w:szCs w:val="24"/>
        </w:rPr>
        <w:t xml:space="preserve"> než v roce 2015</w:t>
      </w:r>
      <w:r w:rsidRPr="00BF6F67">
        <w:rPr>
          <w:i w:val="0"/>
          <w:sz w:val="24"/>
          <w:szCs w:val="24"/>
        </w:rPr>
        <w:t>.</w:t>
      </w:r>
      <w:r>
        <w:rPr>
          <w:i w:val="0"/>
          <w:sz w:val="24"/>
          <w:szCs w:val="24"/>
        </w:rPr>
        <w:t xml:space="preserve"> Stále však je v populaci polovina těch, kteří považují daňovou morálku obchodníků za špatnou.</w:t>
      </w:r>
    </w:p>
    <w:p w:rsidR="009D73B0" w:rsidRDefault="009D73B0" w:rsidP="009D73B0">
      <w:pPr>
        <w:pStyle w:val="Zkladntext"/>
        <w:spacing w:after="120"/>
        <w:rPr>
          <w:i w:val="0"/>
          <w:sz w:val="24"/>
          <w:szCs w:val="24"/>
        </w:rPr>
      </w:pPr>
    </w:p>
    <w:p w:rsidR="00BF6F67" w:rsidRPr="00BF6F67" w:rsidRDefault="00BF6F67" w:rsidP="00BF6F67">
      <w:pPr>
        <w:pStyle w:val="Zkladntext3"/>
        <w:spacing w:line="240" w:lineRule="auto"/>
        <w:jc w:val="center"/>
        <w:rPr>
          <w:rFonts w:ascii="Times New Roman" w:hAnsi="Times New Roman"/>
          <w:bCs/>
          <w:i/>
          <w:sz w:val="24"/>
          <w:szCs w:val="24"/>
        </w:rPr>
      </w:pPr>
      <w:r w:rsidRPr="00BF6F67">
        <w:rPr>
          <w:rFonts w:ascii="Times New Roman" w:hAnsi="Times New Roman"/>
          <w:bCs/>
          <w:i/>
          <w:sz w:val="24"/>
          <w:szCs w:val="24"/>
        </w:rPr>
        <w:t xml:space="preserve">„Zvážíte-li všechna pro a proti, </w:t>
      </w:r>
      <w:proofErr w:type="gramStart"/>
      <w:r w:rsidRPr="00BF6F67">
        <w:rPr>
          <w:rFonts w:ascii="Times New Roman" w:hAnsi="Times New Roman"/>
          <w:bCs/>
          <w:i/>
          <w:sz w:val="24"/>
          <w:szCs w:val="24"/>
        </w:rPr>
        <w:t>řekl(a) byste</w:t>
      </w:r>
      <w:proofErr w:type="gramEnd"/>
      <w:r w:rsidRPr="00BF6F67">
        <w:rPr>
          <w:rFonts w:ascii="Times New Roman" w:hAnsi="Times New Roman"/>
          <w:bCs/>
          <w:i/>
          <w:sz w:val="24"/>
          <w:szCs w:val="24"/>
        </w:rPr>
        <w:t>, že daňová morálka obchodníků, prodejců zboží a služeb je dnes v ČR:“</w:t>
      </w:r>
    </w:p>
    <w:p w:rsidR="00BF6F67" w:rsidRDefault="00BF6F67" w:rsidP="00BF6F67">
      <w:pPr>
        <w:pStyle w:val="Zkladntext3"/>
        <w:spacing w:line="240" w:lineRule="auto"/>
      </w:pPr>
      <w:r>
        <w:rPr>
          <w:noProof/>
          <w:lang w:eastAsia="cs-CZ"/>
        </w:rPr>
        <w:drawing>
          <wp:inline distT="0" distB="0" distL="0" distR="0" wp14:anchorId="23D2D325" wp14:editId="69FAFE57">
            <wp:extent cx="5770709" cy="3442447"/>
            <wp:effectExtent l="0" t="0" r="0" b="0"/>
            <wp:docPr id="2"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6F67" w:rsidRDefault="00BF6F67" w:rsidP="00322E78">
      <w:pPr>
        <w:pStyle w:val="Zkladntext"/>
        <w:spacing w:after="240" w:line="288" w:lineRule="auto"/>
        <w:rPr>
          <w:i w:val="0"/>
          <w:sz w:val="24"/>
          <w:szCs w:val="24"/>
        </w:rPr>
      </w:pPr>
    </w:p>
    <w:p w:rsidR="00CC3745" w:rsidRDefault="001618AB" w:rsidP="00322E78">
      <w:pPr>
        <w:pStyle w:val="Zkladntext"/>
        <w:spacing w:after="240" w:line="288" w:lineRule="auto"/>
        <w:rPr>
          <w:i w:val="0"/>
          <w:sz w:val="24"/>
          <w:szCs w:val="24"/>
        </w:rPr>
      </w:pPr>
      <w:r w:rsidRPr="001618AB">
        <w:rPr>
          <w:i w:val="0"/>
          <w:sz w:val="24"/>
          <w:szCs w:val="24"/>
        </w:rPr>
        <w:lastRenderedPageBreak/>
        <w:t xml:space="preserve">Podle jasné většiny občanů </w:t>
      </w:r>
      <w:r w:rsidR="005D4611">
        <w:rPr>
          <w:i w:val="0"/>
          <w:sz w:val="24"/>
          <w:szCs w:val="24"/>
        </w:rPr>
        <w:t xml:space="preserve">(82 %) </w:t>
      </w:r>
      <w:r w:rsidRPr="001618AB">
        <w:rPr>
          <w:i w:val="0"/>
          <w:sz w:val="24"/>
          <w:szCs w:val="24"/>
        </w:rPr>
        <w:t>stát hledá cesty k vyššímu výběru daní od obchodníků a prodejců.</w:t>
      </w:r>
      <w:r>
        <w:rPr>
          <w:i w:val="0"/>
          <w:sz w:val="24"/>
          <w:szCs w:val="24"/>
        </w:rPr>
        <w:t xml:space="preserve"> </w:t>
      </w:r>
      <w:r w:rsidRPr="001618AB">
        <w:rPr>
          <w:i w:val="0"/>
          <w:sz w:val="24"/>
          <w:szCs w:val="24"/>
        </w:rPr>
        <w:t>Názor na to, zda stát hledá cesty k lepšímu výběru daní od obchodníků a prodejců, je univerzální, nezávisí na pohlaví, věku, vzdělání. Poněkud méně často se s pozitivním hodnocením státu setkáváme u sympatizantů KSČM, ODS a TOP 09, i když i mezi nimi podíl lidí domnívajících se, že se stát snaží dosáhnout vyššího výběru daní, jasně převažuje nad podílem lidí s opačným názorem.</w:t>
      </w:r>
    </w:p>
    <w:p w:rsidR="00CC3745" w:rsidRPr="001618AB" w:rsidRDefault="00CC3745" w:rsidP="001618AB">
      <w:pPr>
        <w:pStyle w:val="Zkladntext3"/>
        <w:spacing w:line="240" w:lineRule="auto"/>
        <w:jc w:val="center"/>
        <w:rPr>
          <w:rFonts w:ascii="Times New Roman" w:hAnsi="Times New Roman"/>
          <w:bCs/>
          <w:i/>
          <w:sz w:val="24"/>
          <w:szCs w:val="24"/>
        </w:rPr>
      </w:pPr>
      <w:r w:rsidRPr="001618AB">
        <w:rPr>
          <w:rFonts w:ascii="Times New Roman" w:hAnsi="Times New Roman"/>
          <w:bCs/>
          <w:i/>
          <w:sz w:val="24"/>
          <w:szCs w:val="24"/>
        </w:rPr>
        <w:t xml:space="preserve">„Hledá podle Vás stát cesty, jak dosáhnout vyššího výběru daní od obchodníků a prodejců </w:t>
      </w:r>
      <w:r w:rsidR="001618AB">
        <w:rPr>
          <w:rFonts w:ascii="Times New Roman" w:hAnsi="Times New Roman"/>
          <w:bCs/>
          <w:i/>
          <w:sz w:val="24"/>
          <w:szCs w:val="24"/>
        </w:rPr>
        <w:br/>
      </w:r>
      <w:r w:rsidRPr="001618AB">
        <w:rPr>
          <w:rFonts w:ascii="Times New Roman" w:hAnsi="Times New Roman"/>
          <w:bCs/>
          <w:i/>
          <w:sz w:val="24"/>
          <w:szCs w:val="24"/>
        </w:rPr>
        <w:t>na našem trhu?“</w:t>
      </w:r>
    </w:p>
    <w:p w:rsidR="00CC3745" w:rsidRDefault="00CC3745" w:rsidP="009D73B0">
      <w:pPr>
        <w:rPr>
          <w:i/>
          <w:sz w:val="24"/>
          <w:szCs w:val="24"/>
        </w:rPr>
      </w:pPr>
      <w:r>
        <w:rPr>
          <w:b/>
          <w:noProof/>
          <w:color w:val="FF0000"/>
          <w:lang w:eastAsia="cs-CZ"/>
        </w:rPr>
        <w:drawing>
          <wp:inline distT="0" distB="0" distL="0" distR="0" wp14:anchorId="79E153DB" wp14:editId="545AEBF2">
            <wp:extent cx="5678501" cy="2335946"/>
            <wp:effectExtent l="0" t="0" r="0" b="0"/>
            <wp:docPr id="19" name="objek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618AB" w:rsidRPr="001618AB" w:rsidRDefault="001618AB" w:rsidP="001618AB">
      <w:pPr>
        <w:pStyle w:val="Zkladntext"/>
        <w:spacing w:after="240" w:line="288" w:lineRule="auto"/>
        <w:rPr>
          <w:i w:val="0"/>
          <w:sz w:val="24"/>
          <w:szCs w:val="24"/>
        </w:rPr>
      </w:pPr>
      <w:r w:rsidRPr="001618AB">
        <w:rPr>
          <w:i w:val="0"/>
          <w:sz w:val="24"/>
          <w:szCs w:val="24"/>
        </w:rPr>
        <w:t xml:space="preserve">Dvoutřetinová většina dotázaných občanů </w:t>
      </w:r>
      <w:r>
        <w:rPr>
          <w:i w:val="0"/>
          <w:sz w:val="24"/>
          <w:szCs w:val="24"/>
        </w:rPr>
        <w:t>(67 %)</w:t>
      </w:r>
      <w:r w:rsidR="00A3617B">
        <w:rPr>
          <w:i w:val="0"/>
          <w:sz w:val="24"/>
          <w:szCs w:val="24"/>
        </w:rPr>
        <w:t xml:space="preserve"> tvrdí, že</w:t>
      </w:r>
      <w:r>
        <w:rPr>
          <w:i w:val="0"/>
          <w:sz w:val="24"/>
          <w:szCs w:val="24"/>
        </w:rPr>
        <w:t xml:space="preserve"> </w:t>
      </w:r>
      <w:r w:rsidRPr="001618AB">
        <w:rPr>
          <w:i w:val="0"/>
          <w:sz w:val="24"/>
          <w:szCs w:val="24"/>
        </w:rPr>
        <w:t>vyžaduje již dnes vždy nebo většinou při placení běžných nákupů účtenku.</w:t>
      </w:r>
      <w:r>
        <w:rPr>
          <w:i w:val="0"/>
          <w:sz w:val="24"/>
          <w:szCs w:val="24"/>
        </w:rPr>
        <w:t xml:space="preserve"> </w:t>
      </w:r>
      <w:r w:rsidR="00353746" w:rsidRPr="00353746">
        <w:rPr>
          <w:i w:val="0"/>
          <w:sz w:val="24"/>
          <w:szCs w:val="24"/>
        </w:rPr>
        <w:t>Lidé, kteří již dnes vyžadují účtenky, považují jasnou většinou EET za pozitivní opatření. Naopak mezi lidmi, kteří si v současném systému účtenky neberou, převažuje názor, že zavedení elektronických pokladen bude negativním opatřením.</w:t>
      </w:r>
    </w:p>
    <w:p w:rsidR="00353746" w:rsidRDefault="00353746" w:rsidP="00353746">
      <w:pPr>
        <w:pStyle w:val="Zkladntext3"/>
        <w:spacing w:line="240" w:lineRule="auto"/>
        <w:rPr>
          <w:sz w:val="25"/>
          <w:szCs w:val="25"/>
        </w:rPr>
      </w:pPr>
      <w:r>
        <w:rPr>
          <w:noProof/>
          <w:lang w:eastAsia="cs-CZ"/>
        </w:rPr>
        <w:drawing>
          <wp:inline distT="0" distB="0" distL="0" distR="0" wp14:anchorId="2DF4C04E" wp14:editId="21824D53">
            <wp:extent cx="5770709" cy="3526972"/>
            <wp:effectExtent l="0" t="0" r="0" b="0"/>
            <wp:docPr id="61" name="obj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618AB" w:rsidRDefault="001618AB" w:rsidP="00322E78">
      <w:pPr>
        <w:pStyle w:val="Zkladntext"/>
        <w:spacing w:after="240" w:line="288" w:lineRule="auto"/>
        <w:rPr>
          <w:i w:val="0"/>
          <w:sz w:val="24"/>
          <w:szCs w:val="24"/>
        </w:rPr>
      </w:pPr>
      <w:r w:rsidRPr="001618AB">
        <w:rPr>
          <w:i w:val="0"/>
          <w:sz w:val="24"/>
          <w:szCs w:val="24"/>
        </w:rPr>
        <w:t xml:space="preserve">U </w:t>
      </w:r>
      <w:r w:rsidR="005D4611">
        <w:rPr>
          <w:i w:val="0"/>
          <w:sz w:val="24"/>
          <w:szCs w:val="24"/>
        </w:rPr>
        <w:t xml:space="preserve">téměř </w:t>
      </w:r>
      <w:r w:rsidRPr="001618AB">
        <w:rPr>
          <w:i w:val="0"/>
          <w:sz w:val="24"/>
          <w:szCs w:val="24"/>
        </w:rPr>
        <w:t>tříčtvrtinové většiny dotázaných občanů</w:t>
      </w:r>
      <w:r w:rsidR="00353746">
        <w:rPr>
          <w:i w:val="0"/>
          <w:sz w:val="24"/>
          <w:szCs w:val="24"/>
        </w:rPr>
        <w:t xml:space="preserve"> (72 %)</w:t>
      </w:r>
      <w:r w:rsidRPr="001618AB">
        <w:rPr>
          <w:i w:val="0"/>
          <w:sz w:val="24"/>
          <w:szCs w:val="24"/>
        </w:rPr>
        <w:t xml:space="preserve"> by slosovatelnost účtenky zvýšila motivaci požadovat při placení účtenku</w:t>
      </w:r>
      <w:r w:rsidR="003B6AAC">
        <w:rPr>
          <w:i w:val="0"/>
          <w:sz w:val="24"/>
          <w:szCs w:val="24"/>
        </w:rPr>
        <w:t>. Dokonce i m</w:t>
      </w:r>
      <w:r w:rsidR="003B6AAC" w:rsidRPr="003B6AAC">
        <w:rPr>
          <w:i w:val="0"/>
          <w:sz w:val="24"/>
          <w:szCs w:val="24"/>
        </w:rPr>
        <w:t>ezi lidmi, kteří zatím uvádějí, že nebudou po zavedení elektronické evidence tržeb požadovat při placení běžných nákupů účtenku, je mírně nadpoloviční většina těch, kteří připouštějí, že možnost výhry by zvýšila jejich motivaci účtenku vyžadovat.</w:t>
      </w:r>
    </w:p>
    <w:p w:rsidR="001618AB" w:rsidRPr="001618AB" w:rsidRDefault="001618AB" w:rsidP="001618AB">
      <w:pPr>
        <w:pStyle w:val="Zkladntext3"/>
        <w:spacing w:line="240" w:lineRule="auto"/>
        <w:jc w:val="center"/>
        <w:rPr>
          <w:rFonts w:ascii="Times New Roman" w:hAnsi="Times New Roman"/>
          <w:bCs/>
          <w:i/>
          <w:sz w:val="24"/>
          <w:szCs w:val="24"/>
        </w:rPr>
      </w:pPr>
      <w:r w:rsidRPr="001618AB">
        <w:rPr>
          <w:rFonts w:ascii="Times New Roman" w:hAnsi="Times New Roman"/>
          <w:bCs/>
          <w:i/>
          <w:sz w:val="24"/>
          <w:szCs w:val="24"/>
        </w:rPr>
        <w:t>„Zvýšilo by Vaši motivaci požadovat při placení účtenku, pokud by byla tato účtenka slosovatelná o finanční nebo věcné výhry?“</w:t>
      </w:r>
    </w:p>
    <w:p w:rsidR="001618AB" w:rsidRDefault="001618AB" w:rsidP="00353746">
      <w:pPr>
        <w:rPr>
          <w:i/>
          <w:sz w:val="24"/>
          <w:szCs w:val="24"/>
        </w:rPr>
      </w:pPr>
      <w:r>
        <w:rPr>
          <w:b/>
          <w:noProof/>
          <w:color w:val="FF0000"/>
          <w:lang w:eastAsia="cs-CZ"/>
        </w:rPr>
        <w:drawing>
          <wp:inline distT="0" distB="0" distL="0" distR="0" wp14:anchorId="43D959C5" wp14:editId="0455C292">
            <wp:extent cx="5678805" cy="2704465"/>
            <wp:effectExtent l="0" t="0" r="0" b="0"/>
            <wp:docPr id="49" name="Graf 4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sectPr w:rsidR="001618AB" w:rsidSect="006260AA">
      <w:footerReference w:type="default" r:id="rId16"/>
      <w:pgSz w:w="11906" w:h="16838"/>
      <w:pgMar w:top="1191" w:right="1361" w:bottom="907" w:left="136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423" w:rsidRDefault="00385423" w:rsidP="00F224CF">
      <w:pPr>
        <w:spacing w:after="0" w:line="240" w:lineRule="auto"/>
      </w:pPr>
      <w:r>
        <w:separator/>
      </w:r>
    </w:p>
  </w:endnote>
  <w:endnote w:type="continuationSeparator" w:id="0">
    <w:p w:rsidR="00385423" w:rsidRDefault="00385423" w:rsidP="00F22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423" w:rsidRDefault="006260AA">
    <w:pPr>
      <w:pStyle w:val="Zpat"/>
      <w:jc w:val="center"/>
    </w:pPr>
    <w:r>
      <w:fldChar w:fldCharType="begin"/>
    </w:r>
    <w:r>
      <w:instrText>PAGE   \* MERGEFORMAT</w:instrText>
    </w:r>
    <w:r>
      <w:fldChar w:fldCharType="separate"/>
    </w:r>
    <w:r w:rsidR="00D43DA3">
      <w:rPr>
        <w:noProof/>
      </w:rPr>
      <w:t>1</w:t>
    </w:r>
    <w:r>
      <w:rPr>
        <w:noProof/>
      </w:rPr>
      <w:fldChar w:fldCharType="end"/>
    </w:r>
  </w:p>
  <w:p w:rsidR="00385423" w:rsidRDefault="0038542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423" w:rsidRDefault="00385423" w:rsidP="00F224CF">
      <w:pPr>
        <w:spacing w:after="0" w:line="240" w:lineRule="auto"/>
      </w:pPr>
      <w:r>
        <w:separator/>
      </w:r>
    </w:p>
  </w:footnote>
  <w:footnote w:type="continuationSeparator" w:id="0">
    <w:p w:rsidR="00385423" w:rsidRDefault="00385423" w:rsidP="00F224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D2526"/>
    <w:multiLevelType w:val="hybridMultilevel"/>
    <w:tmpl w:val="A6E2E028"/>
    <w:lvl w:ilvl="0" w:tplc="0405000F">
      <w:start w:val="1"/>
      <w:numFmt w:val="decimal"/>
      <w:lvlText w:val="%1."/>
      <w:lvlJc w:val="left"/>
      <w:pPr>
        <w:ind w:left="786" w:hanging="360"/>
      </w:pPr>
      <w:rPr>
        <w:rFonts w:cs="Times New Roman"/>
      </w:rPr>
    </w:lvl>
    <w:lvl w:ilvl="1" w:tplc="04050019">
      <w:start w:val="1"/>
      <w:numFmt w:val="lowerLetter"/>
      <w:lvlText w:val="%2."/>
      <w:lvlJc w:val="left"/>
      <w:pPr>
        <w:ind w:left="1506" w:hanging="360"/>
      </w:pPr>
      <w:rPr>
        <w:rFonts w:cs="Times New Roman"/>
      </w:rPr>
    </w:lvl>
    <w:lvl w:ilvl="2" w:tplc="0405001B" w:tentative="1">
      <w:start w:val="1"/>
      <w:numFmt w:val="lowerRoman"/>
      <w:lvlText w:val="%3."/>
      <w:lvlJc w:val="right"/>
      <w:pPr>
        <w:ind w:left="2226" w:hanging="180"/>
      </w:pPr>
      <w:rPr>
        <w:rFonts w:cs="Times New Roman"/>
      </w:rPr>
    </w:lvl>
    <w:lvl w:ilvl="3" w:tplc="0405000F" w:tentative="1">
      <w:start w:val="1"/>
      <w:numFmt w:val="decimal"/>
      <w:lvlText w:val="%4."/>
      <w:lvlJc w:val="left"/>
      <w:pPr>
        <w:ind w:left="2946" w:hanging="360"/>
      </w:pPr>
      <w:rPr>
        <w:rFonts w:cs="Times New Roman"/>
      </w:rPr>
    </w:lvl>
    <w:lvl w:ilvl="4" w:tplc="04050019" w:tentative="1">
      <w:start w:val="1"/>
      <w:numFmt w:val="lowerLetter"/>
      <w:lvlText w:val="%5."/>
      <w:lvlJc w:val="left"/>
      <w:pPr>
        <w:ind w:left="3666" w:hanging="360"/>
      </w:pPr>
      <w:rPr>
        <w:rFonts w:cs="Times New Roman"/>
      </w:rPr>
    </w:lvl>
    <w:lvl w:ilvl="5" w:tplc="0405001B" w:tentative="1">
      <w:start w:val="1"/>
      <w:numFmt w:val="lowerRoman"/>
      <w:lvlText w:val="%6."/>
      <w:lvlJc w:val="right"/>
      <w:pPr>
        <w:ind w:left="4386" w:hanging="180"/>
      </w:pPr>
      <w:rPr>
        <w:rFonts w:cs="Times New Roman"/>
      </w:rPr>
    </w:lvl>
    <w:lvl w:ilvl="6" w:tplc="0405000F" w:tentative="1">
      <w:start w:val="1"/>
      <w:numFmt w:val="decimal"/>
      <w:lvlText w:val="%7."/>
      <w:lvlJc w:val="left"/>
      <w:pPr>
        <w:ind w:left="5106" w:hanging="360"/>
      </w:pPr>
      <w:rPr>
        <w:rFonts w:cs="Times New Roman"/>
      </w:rPr>
    </w:lvl>
    <w:lvl w:ilvl="7" w:tplc="04050019" w:tentative="1">
      <w:start w:val="1"/>
      <w:numFmt w:val="lowerLetter"/>
      <w:lvlText w:val="%8."/>
      <w:lvlJc w:val="left"/>
      <w:pPr>
        <w:ind w:left="5826" w:hanging="360"/>
      </w:pPr>
      <w:rPr>
        <w:rFonts w:cs="Times New Roman"/>
      </w:rPr>
    </w:lvl>
    <w:lvl w:ilvl="8" w:tplc="0405001B" w:tentative="1">
      <w:start w:val="1"/>
      <w:numFmt w:val="lowerRoman"/>
      <w:lvlText w:val="%9."/>
      <w:lvlJc w:val="right"/>
      <w:pPr>
        <w:ind w:left="6546" w:hanging="180"/>
      </w:pPr>
      <w:rPr>
        <w:rFonts w:cs="Times New Roman"/>
      </w:rPr>
    </w:lvl>
  </w:abstractNum>
  <w:abstractNum w:abstractNumId="1">
    <w:nsid w:val="37A022AE"/>
    <w:multiLevelType w:val="hybridMultilevel"/>
    <w:tmpl w:val="923209E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E78"/>
    <w:rsid w:val="000630F0"/>
    <w:rsid w:val="001618AB"/>
    <w:rsid w:val="00293CF5"/>
    <w:rsid w:val="002E4281"/>
    <w:rsid w:val="00322E78"/>
    <w:rsid w:val="00353746"/>
    <w:rsid w:val="003803F7"/>
    <w:rsid w:val="00385423"/>
    <w:rsid w:val="003B6AAC"/>
    <w:rsid w:val="00404FB5"/>
    <w:rsid w:val="0042294C"/>
    <w:rsid w:val="0043485C"/>
    <w:rsid w:val="0047484F"/>
    <w:rsid w:val="004E36B9"/>
    <w:rsid w:val="00517F10"/>
    <w:rsid w:val="005240CF"/>
    <w:rsid w:val="005D4611"/>
    <w:rsid w:val="006260AA"/>
    <w:rsid w:val="00683C2D"/>
    <w:rsid w:val="007629CD"/>
    <w:rsid w:val="007834E3"/>
    <w:rsid w:val="00862430"/>
    <w:rsid w:val="00896266"/>
    <w:rsid w:val="009D73B0"/>
    <w:rsid w:val="00A255B1"/>
    <w:rsid w:val="00A3617B"/>
    <w:rsid w:val="00B2453F"/>
    <w:rsid w:val="00BA64E5"/>
    <w:rsid w:val="00BF6F67"/>
    <w:rsid w:val="00C21C75"/>
    <w:rsid w:val="00CC3745"/>
    <w:rsid w:val="00D43DA3"/>
    <w:rsid w:val="00D56BA7"/>
    <w:rsid w:val="00DD2C18"/>
    <w:rsid w:val="00DF033B"/>
    <w:rsid w:val="00E774BC"/>
    <w:rsid w:val="00F224CF"/>
    <w:rsid w:val="00F269B6"/>
    <w:rsid w:val="00FC036E"/>
    <w:rsid w:val="00FD0B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21C75"/>
    <w:pPr>
      <w:spacing w:after="200" w:line="276" w:lineRule="auto"/>
    </w:pPr>
    <w:rPr>
      <w:lang w:eastAsia="en-US"/>
    </w:rPr>
  </w:style>
  <w:style w:type="paragraph" w:styleId="Nadpis1">
    <w:name w:val="heading 1"/>
    <w:basedOn w:val="Normln"/>
    <w:next w:val="Normln"/>
    <w:link w:val="Nadpis1Char"/>
    <w:qFormat/>
    <w:locked/>
    <w:rsid w:val="00FD0BDA"/>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22E78"/>
    <w:pPr>
      <w:spacing w:after="0" w:line="240" w:lineRule="auto"/>
      <w:jc w:val="both"/>
    </w:pPr>
    <w:rPr>
      <w:rFonts w:ascii="Times New Roman" w:eastAsia="Times New Roman" w:hAnsi="Times New Roman"/>
      <w:i/>
      <w:sz w:val="28"/>
      <w:szCs w:val="20"/>
      <w:lang w:eastAsia="cs-CZ"/>
    </w:rPr>
  </w:style>
  <w:style w:type="character" w:customStyle="1" w:styleId="ZkladntextChar">
    <w:name w:val="Základní text Char"/>
    <w:basedOn w:val="Standardnpsmoodstavce"/>
    <w:link w:val="Zkladntext"/>
    <w:locked/>
    <w:rsid w:val="00322E78"/>
    <w:rPr>
      <w:rFonts w:ascii="Times New Roman" w:hAnsi="Times New Roman" w:cs="Times New Roman"/>
      <w:i/>
      <w:sz w:val="20"/>
      <w:szCs w:val="20"/>
    </w:rPr>
  </w:style>
  <w:style w:type="paragraph" w:styleId="Textbubliny">
    <w:name w:val="Balloon Text"/>
    <w:basedOn w:val="Normln"/>
    <w:link w:val="TextbublinyChar"/>
    <w:uiPriority w:val="99"/>
    <w:semiHidden/>
    <w:rsid w:val="00683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83C2D"/>
    <w:rPr>
      <w:rFonts w:ascii="Tahoma" w:hAnsi="Tahoma" w:cs="Tahoma"/>
      <w:sz w:val="16"/>
      <w:szCs w:val="16"/>
    </w:rPr>
  </w:style>
  <w:style w:type="paragraph" w:styleId="Zkladntext3">
    <w:name w:val="Body Text 3"/>
    <w:basedOn w:val="Normln"/>
    <w:link w:val="Zkladntext3Char"/>
    <w:uiPriority w:val="99"/>
    <w:semiHidden/>
    <w:rsid w:val="007629CD"/>
    <w:pPr>
      <w:spacing w:after="120"/>
    </w:pPr>
    <w:rPr>
      <w:sz w:val="16"/>
      <w:szCs w:val="16"/>
    </w:rPr>
  </w:style>
  <w:style w:type="character" w:customStyle="1" w:styleId="Zkladntext3Char">
    <w:name w:val="Základní text 3 Char"/>
    <w:basedOn w:val="Standardnpsmoodstavce"/>
    <w:link w:val="Zkladntext3"/>
    <w:uiPriority w:val="99"/>
    <w:semiHidden/>
    <w:locked/>
    <w:rsid w:val="007629CD"/>
    <w:rPr>
      <w:rFonts w:cs="Times New Roman"/>
      <w:sz w:val="16"/>
      <w:szCs w:val="16"/>
    </w:rPr>
  </w:style>
  <w:style w:type="paragraph" w:styleId="Zpat">
    <w:name w:val="footer"/>
    <w:basedOn w:val="Normln"/>
    <w:link w:val="ZpatChar"/>
    <w:rsid w:val="007629CD"/>
    <w:pPr>
      <w:tabs>
        <w:tab w:val="center" w:pos="4536"/>
        <w:tab w:val="right" w:pos="9072"/>
      </w:tabs>
      <w:spacing w:after="0" w:line="240" w:lineRule="auto"/>
    </w:pPr>
    <w:rPr>
      <w:rFonts w:ascii="Times New Roman" w:eastAsia="Times New Roman" w:hAnsi="Times New Roman"/>
      <w:sz w:val="24"/>
      <w:szCs w:val="24"/>
      <w:lang w:eastAsia="cs-CZ"/>
    </w:rPr>
  </w:style>
  <w:style w:type="character" w:customStyle="1" w:styleId="ZpatChar">
    <w:name w:val="Zápatí Char"/>
    <w:basedOn w:val="Standardnpsmoodstavce"/>
    <w:link w:val="Zpat"/>
    <w:uiPriority w:val="99"/>
    <w:locked/>
    <w:rsid w:val="007629CD"/>
    <w:rPr>
      <w:rFonts w:ascii="Times New Roman" w:hAnsi="Times New Roman" w:cs="Times New Roman"/>
      <w:sz w:val="24"/>
      <w:szCs w:val="24"/>
      <w:lang w:eastAsia="cs-CZ"/>
    </w:rPr>
  </w:style>
  <w:style w:type="paragraph" w:styleId="Zhlav">
    <w:name w:val="header"/>
    <w:basedOn w:val="Normln"/>
    <w:link w:val="ZhlavChar"/>
    <w:uiPriority w:val="99"/>
    <w:rsid w:val="00F224CF"/>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F224CF"/>
    <w:rPr>
      <w:rFonts w:cs="Times New Roman"/>
    </w:rPr>
  </w:style>
  <w:style w:type="character" w:styleId="Odkaznakoment">
    <w:name w:val="annotation reference"/>
    <w:basedOn w:val="Standardnpsmoodstavce"/>
    <w:uiPriority w:val="99"/>
    <w:semiHidden/>
    <w:rsid w:val="000630F0"/>
    <w:rPr>
      <w:rFonts w:cs="Times New Roman"/>
      <w:sz w:val="16"/>
      <w:szCs w:val="16"/>
    </w:rPr>
  </w:style>
  <w:style w:type="paragraph" w:styleId="Textkomente">
    <w:name w:val="annotation text"/>
    <w:basedOn w:val="Normln"/>
    <w:link w:val="TextkomenteChar"/>
    <w:uiPriority w:val="99"/>
    <w:semiHidden/>
    <w:rsid w:val="000630F0"/>
    <w:rPr>
      <w:sz w:val="20"/>
      <w:szCs w:val="20"/>
    </w:rPr>
  </w:style>
  <w:style w:type="character" w:customStyle="1" w:styleId="TextkomenteChar">
    <w:name w:val="Text komentáře Char"/>
    <w:basedOn w:val="Standardnpsmoodstavce"/>
    <w:link w:val="Textkomente"/>
    <w:uiPriority w:val="99"/>
    <w:semiHidden/>
    <w:rsid w:val="008962B3"/>
    <w:rPr>
      <w:sz w:val="20"/>
      <w:szCs w:val="20"/>
      <w:lang w:eastAsia="en-US"/>
    </w:rPr>
  </w:style>
  <w:style w:type="paragraph" w:styleId="Pedmtkomente">
    <w:name w:val="annotation subject"/>
    <w:basedOn w:val="Textkomente"/>
    <w:next w:val="Textkomente"/>
    <w:link w:val="PedmtkomenteChar"/>
    <w:uiPriority w:val="99"/>
    <w:semiHidden/>
    <w:rsid w:val="000630F0"/>
    <w:rPr>
      <w:b/>
      <w:bCs/>
    </w:rPr>
  </w:style>
  <w:style w:type="character" w:customStyle="1" w:styleId="PedmtkomenteChar">
    <w:name w:val="Předmět komentáře Char"/>
    <w:basedOn w:val="TextkomenteChar"/>
    <w:link w:val="Pedmtkomente"/>
    <w:uiPriority w:val="99"/>
    <w:semiHidden/>
    <w:rsid w:val="008962B3"/>
    <w:rPr>
      <w:b/>
      <w:bCs/>
      <w:sz w:val="20"/>
      <w:szCs w:val="20"/>
      <w:lang w:eastAsia="en-US"/>
    </w:rPr>
  </w:style>
  <w:style w:type="character" w:customStyle="1" w:styleId="Nadpis1Char">
    <w:name w:val="Nadpis 1 Char"/>
    <w:basedOn w:val="Standardnpsmoodstavce"/>
    <w:link w:val="Nadpis1"/>
    <w:rsid w:val="00FD0BDA"/>
    <w:rPr>
      <w:rFonts w:asciiTheme="majorHAnsi" w:eastAsiaTheme="majorEastAsia" w:hAnsiTheme="majorHAnsi" w:cstheme="majorBidi"/>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21C75"/>
    <w:pPr>
      <w:spacing w:after="200" w:line="276" w:lineRule="auto"/>
    </w:pPr>
    <w:rPr>
      <w:lang w:eastAsia="en-US"/>
    </w:rPr>
  </w:style>
  <w:style w:type="paragraph" w:styleId="Nadpis1">
    <w:name w:val="heading 1"/>
    <w:basedOn w:val="Normln"/>
    <w:next w:val="Normln"/>
    <w:link w:val="Nadpis1Char"/>
    <w:qFormat/>
    <w:locked/>
    <w:rsid w:val="00FD0BDA"/>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22E78"/>
    <w:pPr>
      <w:spacing w:after="0" w:line="240" w:lineRule="auto"/>
      <w:jc w:val="both"/>
    </w:pPr>
    <w:rPr>
      <w:rFonts w:ascii="Times New Roman" w:eastAsia="Times New Roman" w:hAnsi="Times New Roman"/>
      <w:i/>
      <w:sz w:val="28"/>
      <w:szCs w:val="20"/>
      <w:lang w:eastAsia="cs-CZ"/>
    </w:rPr>
  </w:style>
  <w:style w:type="character" w:customStyle="1" w:styleId="ZkladntextChar">
    <w:name w:val="Základní text Char"/>
    <w:basedOn w:val="Standardnpsmoodstavce"/>
    <w:link w:val="Zkladntext"/>
    <w:locked/>
    <w:rsid w:val="00322E78"/>
    <w:rPr>
      <w:rFonts w:ascii="Times New Roman" w:hAnsi="Times New Roman" w:cs="Times New Roman"/>
      <w:i/>
      <w:sz w:val="20"/>
      <w:szCs w:val="20"/>
    </w:rPr>
  </w:style>
  <w:style w:type="paragraph" w:styleId="Textbubliny">
    <w:name w:val="Balloon Text"/>
    <w:basedOn w:val="Normln"/>
    <w:link w:val="TextbublinyChar"/>
    <w:uiPriority w:val="99"/>
    <w:semiHidden/>
    <w:rsid w:val="00683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83C2D"/>
    <w:rPr>
      <w:rFonts w:ascii="Tahoma" w:hAnsi="Tahoma" w:cs="Tahoma"/>
      <w:sz w:val="16"/>
      <w:szCs w:val="16"/>
    </w:rPr>
  </w:style>
  <w:style w:type="paragraph" w:styleId="Zkladntext3">
    <w:name w:val="Body Text 3"/>
    <w:basedOn w:val="Normln"/>
    <w:link w:val="Zkladntext3Char"/>
    <w:uiPriority w:val="99"/>
    <w:semiHidden/>
    <w:rsid w:val="007629CD"/>
    <w:pPr>
      <w:spacing w:after="120"/>
    </w:pPr>
    <w:rPr>
      <w:sz w:val="16"/>
      <w:szCs w:val="16"/>
    </w:rPr>
  </w:style>
  <w:style w:type="character" w:customStyle="1" w:styleId="Zkladntext3Char">
    <w:name w:val="Základní text 3 Char"/>
    <w:basedOn w:val="Standardnpsmoodstavce"/>
    <w:link w:val="Zkladntext3"/>
    <w:uiPriority w:val="99"/>
    <w:semiHidden/>
    <w:locked/>
    <w:rsid w:val="007629CD"/>
    <w:rPr>
      <w:rFonts w:cs="Times New Roman"/>
      <w:sz w:val="16"/>
      <w:szCs w:val="16"/>
    </w:rPr>
  </w:style>
  <w:style w:type="paragraph" w:styleId="Zpat">
    <w:name w:val="footer"/>
    <w:basedOn w:val="Normln"/>
    <w:link w:val="ZpatChar"/>
    <w:rsid w:val="007629CD"/>
    <w:pPr>
      <w:tabs>
        <w:tab w:val="center" w:pos="4536"/>
        <w:tab w:val="right" w:pos="9072"/>
      </w:tabs>
      <w:spacing w:after="0" w:line="240" w:lineRule="auto"/>
    </w:pPr>
    <w:rPr>
      <w:rFonts w:ascii="Times New Roman" w:eastAsia="Times New Roman" w:hAnsi="Times New Roman"/>
      <w:sz w:val="24"/>
      <w:szCs w:val="24"/>
      <w:lang w:eastAsia="cs-CZ"/>
    </w:rPr>
  </w:style>
  <w:style w:type="character" w:customStyle="1" w:styleId="ZpatChar">
    <w:name w:val="Zápatí Char"/>
    <w:basedOn w:val="Standardnpsmoodstavce"/>
    <w:link w:val="Zpat"/>
    <w:uiPriority w:val="99"/>
    <w:locked/>
    <w:rsid w:val="007629CD"/>
    <w:rPr>
      <w:rFonts w:ascii="Times New Roman" w:hAnsi="Times New Roman" w:cs="Times New Roman"/>
      <w:sz w:val="24"/>
      <w:szCs w:val="24"/>
      <w:lang w:eastAsia="cs-CZ"/>
    </w:rPr>
  </w:style>
  <w:style w:type="paragraph" w:styleId="Zhlav">
    <w:name w:val="header"/>
    <w:basedOn w:val="Normln"/>
    <w:link w:val="ZhlavChar"/>
    <w:uiPriority w:val="99"/>
    <w:rsid w:val="00F224CF"/>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F224CF"/>
    <w:rPr>
      <w:rFonts w:cs="Times New Roman"/>
    </w:rPr>
  </w:style>
  <w:style w:type="character" w:styleId="Odkaznakoment">
    <w:name w:val="annotation reference"/>
    <w:basedOn w:val="Standardnpsmoodstavce"/>
    <w:uiPriority w:val="99"/>
    <w:semiHidden/>
    <w:rsid w:val="000630F0"/>
    <w:rPr>
      <w:rFonts w:cs="Times New Roman"/>
      <w:sz w:val="16"/>
      <w:szCs w:val="16"/>
    </w:rPr>
  </w:style>
  <w:style w:type="paragraph" w:styleId="Textkomente">
    <w:name w:val="annotation text"/>
    <w:basedOn w:val="Normln"/>
    <w:link w:val="TextkomenteChar"/>
    <w:uiPriority w:val="99"/>
    <w:semiHidden/>
    <w:rsid w:val="000630F0"/>
    <w:rPr>
      <w:sz w:val="20"/>
      <w:szCs w:val="20"/>
    </w:rPr>
  </w:style>
  <w:style w:type="character" w:customStyle="1" w:styleId="TextkomenteChar">
    <w:name w:val="Text komentáře Char"/>
    <w:basedOn w:val="Standardnpsmoodstavce"/>
    <w:link w:val="Textkomente"/>
    <w:uiPriority w:val="99"/>
    <w:semiHidden/>
    <w:rsid w:val="008962B3"/>
    <w:rPr>
      <w:sz w:val="20"/>
      <w:szCs w:val="20"/>
      <w:lang w:eastAsia="en-US"/>
    </w:rPr>
  </w:style>
  <w:style w:type="paragraph" w:styleId="Pedmtkomente">
    <w:name w:val="annotation subject"/>
    <w:basedOn w:val="Textkomente"/>
    <w:next w:val="Textkomente"/>
    <w:link w:val="PedmtkomenteChar"/>
    <w:uiPriority w:val="99"/>
    <w:semiHidden/>
    <w:rsid w:val="000630F0"/>
    <w:rPr>
      <w:b/>
      <w:bCs/>
    </w:rPr>
  </w:style>
  <w:style w:type="character" w:customStyle="1" w:styleId="PedmtkomenteChar">
    <w:name w:val="Předmět komentáře Char"/>
    <w:basedOn w:val="TextkomenteChar"/>
    <w:link w:val="Pedmtkomente"/>
    <w:uiPriority w:val="99"/>
    <w:semiHidden/>
    <w:rsid w:val="008962B3"/>
    <w:rPr>
      <w:b/>
      <w:bCs/>
      <w:sz w:val="20"/>
      <w:szCs w:val="20"/>
      <w:lang w:eastAsia="en-US"/>
    </w:rPr>
  </w:style>
  <w:style w:type="character" w:customStyle="1" w:styleId="Nadpis1Char">
    <w:name w:val="Nadpis 1 Char"/>
    <w:basedOn w:val="Standardnpsmoodstavce"/>
    <w:link w:val="Nadpis1"/>
    <w:rsid w:val="00FD0BDA"/>
    <w:rPr>
      <w:rFonts w:asciiTheme="majorHAnsi" w:eastAsiaTheme="majorEastAsia" w:hAnsiTheme="majorHAnsi" w:cstheme="majorBidi"/>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2758164415148207"/>
          <c:y val="0.14865822176862578"/>
          <c:w val="0.75573053368328957"/>
          <c:h val="0.65667896678966786"/>
        </c:manualLayout>
      </c:layout>
      <c:pie3DChart>
        <c:varyColors val="1"/>
        <c:ser>
          <c:idx val="0"/>
          <c:order val="0"/>
          <c:tx>
            <c:strRef>
              <c:f>Sheet1!$B$1</c:f>
              <c:strCache>
                <c:ptCount val="1"/>
              </c:strCache>
            </c:strRef>
          </c:tx>
          <c:spPr>
            <a:ln w="12694">
              <a:solidFill>
                <a:srgbClr val="000000"/>
              </a:solidFill>
              <a:prstDash val="solid"/>
            </a:ln>
          </c:spPr>
          <c:dPt>
            <c:idx val="0"/>
            <c:bubble3D val="0"/>
            <c:spPr>
              <a:solidFill>
                <a:srgbClr val="FF0000"/>
              </a:solidFill>
              <a:ln w="12694">
                <a:solidFill>
                  <a:srgbClr val="000000"/>
                </a:solidFill>
                <a:prstDash val="solid"/>
              </a:ln>
            </c:spPr>
          </c:dPt>
          <c:dPt>
            <c:idx val="1"/>
            <c:bubble3D val="0"/>
            <c:spPr>
              <a:solidFill>
                <a:srgbClr val="CCFFFF"/>
              </a:solidFill>
              <a:ln w="12694">
                <a:solidFill>
                  <a:srgbClr val="000000"/>
                </a:solidFill>
                <a:prstDash val="solid"/>
              </a:ln>
            </c:spPr>
          </c:dPt>
          <c:dPt>
            <c:idx val="2"/>
            <c:bubble3D val="0"/>
            <c:spPr>
              <a:solidFill>
                <a:srgbClr val="CCFFFF"/>
              </a:solidFill>
              <a:ln w="12694">
                <a:solidFill>
                  <a:srgbClr val="000000"/>
                </a:solidFill>
                <a:prstDash val="solid"/>
              </a:ln>
            </c:spPr>
          </c:dPt>
          <c:dPt>
            <c:idx val="3"/>
            <c:bubble3D val="0"/>
            <c:spPr>
              <a:solidFill>
                <a:srgbClr val="000080"/>
              </a:solidFill>
              <a:ln w="12694">
                <a:solidFill>
                  <a:srgbClr val="000000"/>
                </a:solidFill>
                <a:prstDash val="solid"/>
              </a:ln>
            </c:spPr>
          </c:dPt>
          <c:dPt>
            <c:idx val="4"/>
            <c:bubble3D val="0"/>
            <c:spPr>
              <a:solidFill>
                <a:srgbClr val="FFFFFF"/>
              </a:solidFill>
              <a:ln w="12694">
                <a:solidFill>
                  <a:srgbClr val="000000"/>
                </a:solidFill>
                <a:prstDash val="solid"/>
              </a:ln>
            </c:spPr>
          </c:dPt>
          <c:dLbls>
            <c:dLbl>
              <c:idx val="0"/>
              <c:layout>
                <c:manualLayout>
                  <c:x val="-6.7844807110473597E-3"/>
                  <c:y val="0.128686940753292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1.27172308295894E-2"/>
                  <c:y val="-0.14230770501170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Mode val="edge"/>
                  <c:yMode val="edge"/>
                  <c:x val="5.3872053872053897E-2"/>
                  <c:y val="0.2012987012987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Mode val="edge"/>
                  <c:yMode val="edge"/>
                  <c:x val="0.419191919191919"/>
                  <c:y val="9.74025974025974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10101010101010099"/>
                  <c:y val="0.240259740259740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0.34848484848484901"/>
                  <c:y val="7.46753246753247E-2"/>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8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Sheet1!$A$2:$A$3</c:f>
              <c:strCache>
                <c:ptCount val="2"/>
                <c:pt idx="0">
                  <c:v>Pozitivní opatření</c:v>
                </c:pt>
                <c:pt idx="1">
                  <c:v>Negativní opatření</c:v>
                </c:pt>
              </c:strCache>
            </c:strRef>
          </c:cat>
          <c:val>
            <c:numRef>
              <c:f>Sheet1!$B$2:$B$3</c:f>
              <c:numCache>
                <c:formatCode>General</c:formatCode>
                <c:ptCount val="2"/>
                <c:pt idx="0">
                  <c:v>63</c:v>
                </c:pt>
                <c:pt idx="1">
                  <c:v>37</c:v>
                </c:pt>
              </c:numCache>
            </c:numRef>
          </c:val>
        </c:ser>
        <c:dLbls>
          <c:showLegendKey val="0"/>
          <c:showVal val="0"/>
          <c:showCatName val="1"/>
          <c:showSerName val="0"/>
          <c:showPercent val="1"/>
          <c:showBubbleSize val="0"/>
          <c:showLeaderLines val="0"/>
        </c:dLbls>
      </c:pie3DChart>
      <c:spPr>
        <a:noFill/>
        <a:ln w="25389">
          <a:noFill/>
        </a:ln>
      </c:spPr>
    </c:plotArea>
    <c:plotVisOnly val="1"/>
    <c:dispBlanksAs val="zero"/>
    <c:showDLblsOverMax val="0"/>
  </c:chart>
  <c:spPr>
    <a:noFill/>
    <a:ln>
      <a:noFill/>
    </a:ln>
  </c:spPr>
  <c:txPr>
    <a:bodyPr/>
    <a:lstStyle/>
    <a:p>
      <a:pPr>
        <a:defRPr sz="1124"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206484641638225"/>
          <c:y val="0.27054794520547898"/>
          <c:w val="0.63481228668942002"/>
          <c:h val="0.57191780821917804"/>
        </c:manualLayout>
      </c:layout>
      <c:pie3DChart>
        <c:varyColors val="1"/>
        <c:ser>
          <c:idx val="0"/>
          <c:order val="0"/>
          <c:tx>
            <c:strRef>
              <c:f>Sheet1!$B$1</c:f>
              <c:strCache>
                <c:ptCount val="1"/>
              </c:strCache>
            </c:strRef>
          </c:tx>
          <c:spPr>
            <a:ln w="12689">
              <a:solidFill>
                <a:srgbClr val="000000"/>
              </a:solidFill>
              <a:prstDash val="solid"/>
            </a:ln>
          </c:spPr>
          <c:dPt>
            <c:idx val="0"/>
            <c:bubble3D val="0"/>
            <c:spPr>
              <a:solidFill>
                <a:srgbClr val="FF9933"/>
              </a:solidFill>
              <a:ln w="12689">
                <a:solidFill>
                  <a:srgbClr val="000000"/>
                </a:solidFill>
                <a:prstDash val="solid"/>
              </a:ln>
            </c:spPr>
          </c:dPt>
          <c:dPt>
            <c:idx val="1"/>
            <c:bubble3D val="0"/>
            <c:spPr>
              <a:solidFill>
                <a:srgbClr val="CC3300"/>
              </a:solidFill>
              <a:ln w="12689">
                <a:solidFill>
                  <a:srgbClr val="000000"/>
                </a:solidFill>
                <a:prstDash val="solid"/>
              </a:ln>
            </c:spPr>
          </c:dPt>
          <c:dPt>
            <c:idx val="2"/>
            <c:bubble3D val="0"/>
            <c:spPr>
              <a:solidFill>
                <a:srgbClr val="CCFFCC"/>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000080"/>
              </a:solidFill>
              <a:ln w="12689">
                <a:solidFill>
                  <a:srgbClr val="000000"/>
                </a:solidFill>
                <a:prstDash val="solid"/>
              </a:ln>
            </c:spPr>
          </c:dPt>
          <c:dPt>
            <c:idx val="5"/>
            <c:bubble3D val="0"/>
            <c:spPr>
              <a:solidFill>
                <a:srgbClr val="CCCCFF"/>
              </a:solidFill>
              <a:ln w="12689">
                <a:solidFill>
                  <a:srgbClr val="000000"/>
                </a:solidFill>
                <a:prstDash val="solid"/>
              </a:ln>
            </c:spPr>
          </c:dPt>
          <c:dPt>
            <c:idx val="6"/>
            <c:bubble3D val="0"/>
            <c:spPr>
              <a:solidFill>
                <a:srgbClr val="33CCCC"/>
              </a:solidFill>
              <a:ln w="12689">
                <a:solidFill>
                  <a:srgbClr val="000000"/>
                </a:solidFill>
                <a:prstDash val="solid"/>
              </a:ln>
            </c:spPr>
          </c:dPt>
          <c:dLbls>
            <c:dLbl>
              <c:idx val="0"/>
              <c:layout>
                <c:manualLayout>
                  <c:x val="-7.3141309651966302E-2"/>
                  <c:y val="-0.223964961032824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8.8272415554738803E-2"/>
                  <c:y val="1.14307427477418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6945845391239701E-2"/>
                  <c:y val="-0.137494610848452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5.0225252537188497E-3"/>
                  <c:y val="4.8541660449125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9.7387428039289407E-3"/>
                  <c:y val="-0.24278542240029999"/>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Mode val="edge"/>
                  <c:yMode val="edge"/>
                  <c:x val="9.8976109215017094E-2"/>
                  <c:y val="0.342465753424658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79">
                <a:noFill/>
              </a:ln>
            </c:spPr>
            <c:txPr>
              <a:bodyPr/>
              <a:lstStyle/>
              <a:p>
                <a:pPr>
                  <a:defRPr sz="1199"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Sheet1!$A$2:$A$4</c:f>
              <c:strCache>
                <c:ptCount val="3"/>
                <c:pt idx="0">
                  <c:v>Víte vše, co potřebujete vědět</c:v>
                </c:pt>
                <c:pt idx="1">
                  <c:v>Chtěl(a) byste vědět více</c:v>
                </c:pt>
                <c:pt idx="2">
                  <c:v>Téma Vás vůbec nezajímá</c:v>
                </c:pt>
              </c:strCache>
            </c:strRef>
          </c:cat>
          <c:val>
            <c:numRef>
              <c:f>Sheet1!$B$2:$B$4</c:f>
              <c:numCache>
                <c:formatCode>General</c:formatCode>
                <c:ptCount val="3"/>
                <c:pt idx="0">
                  <c:v>41</c:v>
                </c:pt>
                <c:pt idx="1">
                  <c:v>36</c:v>
                </c:pt>
                <c:pt idx="2">
                  <c:v>23</c:v>
                </c:pt>
              </c:numCache>
            </c:numRef>
          </c:val>
        </c:ser>
        <c:dLbls>
          <c:showLegendKey val="0"/>
          <c:showVal val="0"/>
          <c:showCatName val="1"/>
          <c:showSerName val="0"/>
          <c:showPercent val="1"/>
          <c:showBubbleSize val="0"/>
          <c:showLeaderLines val="0"/>
        </c:dLbls>
      </c:pie3DChart>
      <c:spPr>
        <a:noFill/>
        <a:ln w="25379">
          <a:noFill/>
        </a:ln>
      </c:spPr>
    </c:plotArea>
    <c:plotVisOnly val="1"/>
    <c:dispBlanksAs val="zero"/>
    <c:showDLblsOverMax val="0"/>
  </c:chart>
  <c:spPr>
    <a:noFill/>
    <a:ln>
      <a:noFill/>
    </a:ln>
  </c:spPr>
  <c:txPr>
    <a:bodyPr/>
    <a:lstStyle/>
    <a:p>
      <a:pPr>
        <a:defRPr sz="1099"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899425041925676"/>
          <c:y val="0.20696390223949279"/>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6.7356332243315623E-2"/>
                  <c:y val="-0.10211942199272146"/>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21861350381024852"/>
                  <c:y val="-0.1043043787444283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41769808616746E-2"/>
                  <c:y val="-6.270158755980159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25</c:v>
                </c:pt>
                <c:pt idx="1">
                  <c:v>42</c:v>
                </c:pt>
                <c:pt idx="2">
                  <c:v>24</c:v>
                </c:pt>
                <c:pt idx="3">
                  <c:v>9</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6.1732022543953199E-2"/>
          <c:w val="0.86890756302520999"/>
          <c:h val="0.76659271269894702"/>
        </c:manualLayout>
      </c:layout>
      <c:bar3DChart>
        <c:barDir val="col"/>
        <c:grouping val="stacked"/>
        <c:varyColors val="0"/>
        <c:ser>
          <c:idx val="0"/>
          <c:order val="0"/>
          <c:tx>
            <c:strRef>
              <c:f>Sheet1!$B$1</c:f>
              <c:strCache>
                <c:ptCount val="1"/>
                <c:pt idx="0">
                  <c:v>Velmi dobrá</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7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Sheet1!$B$2:$B$3</c:f>
              <c:numCache>
                <c:formatCode>General</c:formatCode>
                <c:ptCount val="2"/>
                <c:pt idx="0">
                  <c:v>2</c:v>
                </c:pt>
                <c:pt idx="1">
                  <c:v>3</c:v>
                </c:pt>
              </c:numCache>
            </c:numRef>
          </c:val>
        </c:ser>
        <c:ser>
          <c:idx val="1"/>
          <c:order val="1"/>
          <c:tx>
            <c:strRef>
              <c:f>Sheet1!$C$1</c:f>
              <c:strCache>
                <c:ptCount val="1"/>
                <c:pt idx="0">
                  <c:v>Spíše dobrá</c:v>
                </c:pt>
              </c:strCache>
            </c:strRef>
          </c:tx>
          <c:spPr>
            <a:solidFill>
              <a:srgbClr val="FF99CC"/>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6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Sheet1!$C$2:$C$3</c:f>
              <c:numCache>
                <c:formatCode>General</c:formatCode>
                <c:ptCount val="2"/>
                <c:pt idx="0">
                  <c:v>38</c:v>
                </c:pt>
                <c:pt idx="1">
                  <c:v>46</c:v>
                </c:pt>
              </c:numCache>
            </c:numRef>
          </c:val>
        </c:ser>
        <c:ser>
          <c:idx val="5"/>
          <c:order val="2"/>
          <c:tx>
            <c:strRef>
              <c:f>Sheet1!$D$1</c:f>
              <c:strCache>
                <c:ptCount val="1"/>
                <c:pt idx="0">
                  <c:v>Spíše špatná</c:v>
                </c:pt>
              </c:strCache>
            </c:strRef>
          </c:tx>
          <c:spPr>
            <a:solidFill>
              <a:srgbClr val="66FFFF"/>
            </a:solidFill>
            <a:ln w="12708">
              <a:solidFill>
                <a:srgbClr val="000000"/>
              </a:solidFill>
              <a:prstDash val="solid"/>
            </a:ln>
          </c:spPr>
          <c:invertIfNegative val="0"/>
          <c:dLbls>
            <c:dLbl>
              <c:idx val="0"/>
              <c:layout>
                <c:manualLayout>
                  <c:x val="2.5954951217993199E-3"/>
                  <c:y val="-1.0233856718456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1545760617262501E-3"/>
                  <c:y val="-1.5979763494444101E-2"/>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Sheet1!$D$2:$D$3</c:f>
              <c:numCache>
                <c:formatCode>General</c:formatCode>
                <c:ptCount val="2"/>
                <c:pt idx="0">
                  <c:v>51</c:v>
                </c:pt>
                <c:pt idx="1">
                  <c:v>46</c:v>
                </c:pt>
              </c:numCache>
            </c:numRef>
          </c:val>
        </c:ser>
        <c:ser>
          <c:idx val="2"/>
          <c:order val="3"/>
          <c:tx>
            <c:strRef>
              <c:f>Sheet1!$E$1</c:f>
              <c:strCache>
                <c:ptCount val="1"/>
                <c:pt idx="0">
                  <c:v>Velmi špatná</c:v>
                </c:pt>
              </c:strCache>
            </c:strRef>
          </c:tx>
          <c:spPr>
            <a:solidFill>
              <a:srgbClr val="000099"/>
            </a:solidFill>
            <a:ln>
              <a:solidFill>
                <a:schemeClr val="tx1"/>
              </a:solidFill>
            </a:ln>
          </c:spPr>
          <c:invertIfNegative val="0"/>
          <c:dLbls>
            <c:spPr>
              <a:solidFill>
                <a:schemeClr val="bg1"/>
              </a:solidFill>
            </c:spPr>
            <c:txPr>
              <a:bodyPr/>
              <a:lstStyle/>
              <a:p>
                <a:pPr>
                  <a:defRPr sz="1000" b="1"/>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2015/6</c:v>
                </c:pt>
                <c:pt idx="1">
                  <c:v>2016/5</c:v>
                </c:pt>
              </c:strCache>
            </c:strRef>
          </c:cat>
          <c:val>
            <c:numRef>
              <c:f>Sheet1!$E$2:$E$3</c:f>
              <c:numCache>
                <c:formatCode>General</c:formatCode>
                <c:ptCount val="2"/>
                <c:pt idx="0">
                  <c:v>9</c:v>
                </c:pt>
                <c:pt idx="1">
                  <c:v>5</c:v>
                </c:pt>
              </c:numCache>
            </c:numRef>
          </c:val>
        </c:ser>
        <c:dLbls>
          <c:showLegendKey val="0"/>
          <c:showVal val="1"/>
          <c:showCatName val="0"/>
          <c:showSerName val="0"/>
          <c:showPercent val="0"/>
          <c:showBubbleSize val="0"/>
        </c:dLbls>
        <c:gapWidth val="150"/>
        <c:shape val="box"/>
        <c:axId val="34896896"/>
        <c:axId val="34923264"/>
        <c:axId val="0"/>
      </c:bar3DChart>
      <c:catAx>
        <c:axId val="34896896"/>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34923264"/>
        <c:crosses val="autoZero"/>
        <c:auto val="1"/>
        <c:lblAlgn val="ctr"/>
        <c:lblOffset val="100"/>
        <c:tickLblSkip val="1"/>
        <c:tickMarkSkip val="1"/>
        <c:noMultiLvlLbl val="0"/>
      </c:catAx>
      <c:valAx>
        <c:axId val="34923264"/>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7"/>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34896896"/>
        <c:crosses val="autoZero"/>
        <c:crossBetween val="between"/>
        <c:majorUnit val="20"/>
      </c:valAx>
      <c:spPr>
        <a:noFill/>
        <a:ln w="25415">
          <a:noFill/>
        </a:ln>
      </c:spPr>
    </c:plotArea>
    <c:legend>
      <c:legendPos val="b"/>
      <c:layout>
        <c:manualLayout>
          <c:xMode val="edge"/>
          <c:yMode val="edge"/>
          <c:x val="0.17167104689662199"/>
          <c:y val="0.885356928431413"/>
          <c:w val="0.640326864515261"/>
          <c:h val="6.7607314449167399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899430626416607"/>
          <c:y val="0.2232769435631313"/>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FF0000"/>
              </a:solidFill>
              <a:ln w="12697">
                <a:solidFill>
                  <a:srgbClr val="000000"/>
                </a:solidFill>
                <a:prstDash val="solid"/>
              </a:ln>
            </c:spPr>
          </c:dPt>
          <c:dPt>
            <c:idx val="1"/>
            <c:bubble3D val="0"/>
            <c:spPr>
              <a:solidFill>
                <a:srgbClr val="FF8080"/>
              </a:solidFill>
              <a:ln w="12697">
                <a:solidFill>
                  <a:srgbClr val="000000"/>
                </a:solidFill>
                <a:prstDash val="solid"/>
              </a:ln>
            </c:spPr>
          </c:dPt>
          <c:dPt>
            <c:idx val="2"/>
            <c:bubble3D val="0"/>
            <c:spPr>
              <a:solidFill>
                <a:srgbClr val="CCFFFF"/>
              </a:solidFill>
              <a:ln w="12697">
                <a:solidFill>
                  <a:srgbClr val="000000"/>
                </a:solidFill>
                <a:prstDash val="solid"/>
              </a:ln>
            </c:spPr>
          </c:dPt>
          <c:dLbls>
            <c:dLbl>
              <c:idx val="0"/>
              <c:layout>
                <c:manualLayout>
                  <c:x val="-9.6430820128837497E-2"/>
                  <c:y val="-0.204903578919461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6606548101338717"/>
                  <c:y val="-0.116109985038547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1.41769808616746E-2"/>
                  <c:y val="-6.270158755980159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2.5751954609147733E-2"/>
                  <c:y val="-1.8574059503087829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31</c:v>
                </c:pt>
                <c:pt idx="1">
                  <c:v>51</c:v>
                </c:pt>
                <c:pt idx="2">
                  <c:v>16</c:v>
                </c:pt>
                <c:pt idx="3">
                  <c:v>2</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2" b="0" i="1" u="none" strike="noStrike" baseline="0">
                <a:effectLst/>
              </a:rPr>
              <a:t>„Když zvážíte všechny okolnosti pro a proti elektronické evidence tržeb, </a:t>
            </a:r>
            <a:br>
              <a:rPr lang="cs-CZ" sz="1202" b="0" i="1" u="none" strike="noStrike" baseline="0">
                <a:effectLst/>
              </a:rPr>
            </a:br>
            <a:r>
              <a:rPr lang="cs-CZ" sz="1202" b="0" i="1" u="none" strike="noStrike" baseline="0">
                <a:effectLst/>
              </a:rPr>
              <a:t>je její zavedení podle Vás:“</a:t>
            </a:r>
          </a:p>
          <a:p>
            <a:pPr marL="0" marR="0" indent="0" algn="ctr" defTabSz="914400" rtl="0" eaLnBrk="1" fontAlgn="auto" latinLnBrk="0" hangingPunct="1">
              <a:lnSpc>
                <a:spcPct val="100000"/>
              </a:lnSpc>
              <a:spcBef>
                <a:spcPts val="0"/>
              </a:spcBef>
              <a:spcAft>
                <a:spcPts val="0"/>
              </a:spcAft>
              <a:buClrTx/>
              <a:buSzTx/>
              <a:buFontTx/>
              <a:buNone/>
              <a:tabLst/>
              <a:defRPr sz="1202" b="0" i="1" u="none" strike="noStrike" kern="1200" baseline="0">
                <a:solidFill>
                  <a:srgbClr val="000000"/>
                </a:solidFill>
                <a:latin typeface="Times New Roman" panose="02020603050405020304" pitchFamily="18" charset="0"/>
                <a:ea typeface="Times New Roman CE"/>
                <a:cs typeface="Times New Roman" panose="02020603050405020304" pitchFamily="18" charset="0"/>
              </a:defRPr>
            </a:pPr>
            <a:r>
              <a:rPr lang="cs-CZ" sz="1200" b="0" i="0" baseline="0"/>
              <a:t>- podle toho, zda vyžadují při placení běžných nákupů účtenku</a:t>
            </a:r>
            <a:endParaRPr lang="cs-CZ" sz="1200" b="0" i="0" u="none" strike="noStrike" baseline="0">
              <a:solidFill>
                <a:srgbClr val="000000"/>
              </a:solidFill>
              <a:latin typeface="Times New Roman" panose="02020603050405020304" pitchFamily="18" charset="0"/>
              <a:cs typeface="Times New Roman" panose="02020603050405020304" pitchFamily="18" charset="0"/>
            </a:endParaRPr>
          </a:p>
        </c:rich>
      </c:tx>
      <c:layout>
        <c:manualLayout>
          <c:xMode val="edge"/>
          <c:yMode val="edge"/>
          <c:x val="0.135575888508674"/>
          <c:y val="1.99681758988188E-3"/>
        </c:manualLayout>
      </c:layout>
      <c:overlay val="0"/>
      <c:spPr>
        <a:noFill/>
        <a:ln w="25415">
          <a:noFill/>
        </a:ln>
      </c:spPr>
    </c:title>
    <c:autoTitleDeleted val="0"/>
    <c:view3D>
      <c:rotX val="9"/>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3175">
          <a:solidFill>
            <a:srgbClr val="000000"/>
          </a:solidFill>
          <a:prstDash val="solid"/>
        </a:ln>
      </c:spPr>
    </c:sideWall>
    <c:backWall>
      <c:thickness val="0"/>
      <c:spPr>
        <a:solidFill>
          <a:srgbClr val="FFFFFF"/>
        </a:solidFill>
        <a:ln w="3175">
          <a:solidFill>
            <a:srgbClr val="000000"/>
          </a:solidFill>
          <a:prstDash val="solid"/>
        </a:ln>
      </c:spPr>
    </c:backWall>
    <c:plotArea>
      <c:layout>
        <c:manualLayout>
          <c:layoutTarget val="inner"/>
          <c:xMode val="edge"/>
          <c:yMode val="edge"/>
          <c:x val="0.104201680672269"/>
          <c:y val="0.185614849187935"/>
          <c:w val="0.86890756302520999"/>
          <c:h val="0.60628667891052801"/>
        </c:manualLayout>
      </c:layout>
      <c:bar3DChart>
        <c:barDir val="col"/>
        <c:grouping val="stacked"/>
        <c:varyColors val="0"/>
        <c:ser>
          <c:idx val="0"/>
          <c:order val="0"/>
          <c:tx>
            <c:strRef>
              <c:f>Sheet1!$B$1</c:f>
              <c:strCache>
                <c:ptCount val="1"/>
                <c:pt idx="0">
                  <c:v>Pozitivní opatření</c:v>
                </c:pt>
              </c:strCache>
            </c:strRef>
          </c:tx>
          <c:spPr>
            <a:solidFill>
              <a:srgbClr val="FF0000"/>
            </a:solidFill>
            <a:ln w="12708">
              <a:solidFill>
                <a:srgbClr val="000000"/>
              </a:solidFill>
              <a:prstDash val="solid"/>
            </a:ln>
          </c:spPr>
          <c:invertIfNegative val="0"/>
          <c:dLbls>
            <c:dLbl>
              <c:idx val="0"/>
              <c:layout>
                <c:manualLayout>
                  <c:x val="1.3801015968544501E-3"/>
                  <c:y val="-7.423403173623350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585102678737701E-3"/>
                  <c:y val="-4.33257761492981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4562466699855901E-3"/>
                  <c:y val="-4.11506231807213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65398307209745E-3"/>
                  <c:y val="-1.90375330959912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7517401392111380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77494199535962904"/>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lgn="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Vyžadují vždy+většinou</c:v>
                </c:pt>
                <c:pt idx="1">
                  <c:v>Nevyžadují většinou+vůbec</c:v>
                </c:pt>
              </c:strCache>
            </c:strRef>
          </c:cat>
          <c:val>
            <c:numRef>
              <c:f>Sheet1!$B$2:$B$3</c:f>
              <c:numCache>
                <c:formatCode>General</c:formatCode>
                <c:ptCount val="2"/>
                <c:pt idx="0">
                  <c:v>74</c:v>
                </c:pt>
                <c:pt idx="1">
                  <c:v>40</c:v>
                </c:pt>
              </c:numCache>
            </c:numRef>
          </c:val>
        </c:ser>
        <c:ser>
          <c:idx val="1"/>
          <c:order val="1"/>
          <c:tx>
            <c:strRef>
              <c:f>Sheet1!$C$1</c:f>
              <c:strCache>
                <c:ptCount val="1"/>
                <c:pt idx="0">
                  <c:v>Negativní opatření</c:v>
                </c:pt>
              </c:strCache>
            </c:strRef>
          </c:tx>
          <c:spPr>
            <a:solidFill>
              <a:srgbClr val="66FFFF"/>
            </a:solidFill>
            <a:ln w="12708">
              <a:solidFill>
                <a:srgbClr val="000000"/>
              </a:solidFill>
              <a:prstDash val="solid"/>
            </a:ln>
          </c:spPr>
          <c:invertIfNegative val="0"/>
          <c:dLbls>
            <c:dLbl>
              <c:idx val="0"/>
              <c:layout>
                <c:manualLayout>
                  <c:x val="3.0607738657620399E-3"/>
                  <c:y val="-3.62639245424933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57783799896621E-3"/>
                  <c:y val="-6.281711587437950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8175912078007103E-3"/>
                  <c:y val="-1.31518637040054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9733108031898999E-3"/>
                  <c:y val="-3.7440106757311198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Mode val="edge"/>
                  <c:yMode val="edge"/>
                  <c:x val="0.77478991596638702"/>
                  <c:y val="0.47795823665893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Mode val="edge"/>
                  <c:yMode val="edge"/>
                  <c:x val="0.92268907563025204"/>
                  <c:y val="0.58004640371229599"/>
                </c:manualLayout>
              </c:layout>
              <c:showLegendKey val="0"/>
              <c:showVal val="1"/>
              <c:showCatName val="0"/>
              <c:showSerName val="0"/>
              <c:showPercent val="0"/>
              <c:showBubbleSize val="0"/>
              <c:extLst>
                <c:ext xmlns:c15="http://schemas.microsoft.com/office/drawing/2012/chart" uri="{CE6537A1-D6FC-4f65-9D91-7224C49458BB}"/>
              </c:extLst>
            </c:dLbl>
            <c:spPr>
              <a:solidFill>
                <a:srgbClr val="FFFFFF"/>
              </a:solidFill>
              <a:ln w="25415">
                <a:noFill/>
              </a:ln>
            </c:spPr>
            <c:txPr>
              <a:bodyPr/>
              <a:lstStyle/>
              <a:p>
                <a:pPr>
                  <a:defRPr sz="1001" b="1" i="0" u="none" strike="noStrike" baseline="0">
                    <a:solidFill>
                      <a:srgbClr val="000000"/>
                    </a:solidFill>
                    <a:latin typeface="Times New Roman CE"/>
                    <a:ea typeface="Times New Roman CE"/>
                    <a:cs typeface="Times New Roman CE"/>
                  </a:defRPr>
                </a:pPr>
                <a:endParaRPr lang="cs-CZ"/>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Vyžadují vždy+většinou</c:v>
                </c:pt>
                <c:pt idx="1">
                  <c:v>Nevyžadují většinou+vůbec</c:v>
                </c:pt>
              </c:strCache>
            </c:strRef>
          </c:cat>
          <c:val>
            <c:numRef>
              <c:f>Sheet1!$C$2:$C$3</c:f>
              <c:numCache>
                <c:formatCode>General</c:formatCode>
                <c:ptCount val="2"/>
                <c:pt idx="0">
                  <c:v>26</c:v>
                </c:pt>
                <c:pt idx="1">
                  <c:v>60</c:v>
                </c:pt>
              </c:numCache>
            </c:numRef>
          </c:val>
        </c:ser>
        <c:dLbls>
          <c:showLegendKey val="0"/>
          <c:showVal val="1"/>
          <c:showCatName val="0"/>
          <c:showSerName val="0"/>
          <c:showPercent val="0"/>
          <c:showBubbleSize val="0"/>
        </c:dLbls>
        <c:gapWidth val="150"/>
        <c:shape val="box"/>
        <c:axId val="36394880"/>
        <c:axId val="36396416"/>
        <c:axId val="0"/>
      </c:bar3DChart>
      <c:catAx>
        <c:axId val="3639488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36396416"/>
        <c:crosses val="autoZero"/>
        <c:auto val="1"/>
        <c:lblAlgn val="ctr"/>
        <c:lblOffset val="100"/>
        <c:tickLblSkip val="1"/>
        <c:tickMarkSkip val="1"/>
        <c:noMultiLvlLbl val="0"/>
      </c:catAx>
      <c:valAx>
        <c:axId val="36396416"/>
        <c:scaling>
          <c:orientation val="minMax"/>
          <c:max val="100"/>
          <c:min val="0"/>
        </c:scaling>
        <c:delete val="0"/>
        <c:axPos val="l"/>
        <c:title>
          <c:tx>
            <c:rich>
              <a:bodyPr rot="0" vert="horz"/>
              <a:lstStyle/>
              <a:p>
                <a:pPr algn="ctr">
                  <a:defRPr sz="1201" b="0" i="0" u="none" strike="noStrike" baseline="0">
                    <a:solidFill>
                      <a:srgbClr val="000000"/>
                    </a:solidFill>
                    <a:latin typeface="Times New Roman CE"/>
                    <a:ea typeface="Times New Roman CE"/>
                    <a:cs typeface="Times New Roman CE"/>
                  </a:defRPr>
                </a:pPr>
                <a:r>
                  <a:rPr lang="cs-CZ"/>
                  <a:t>%</a:t>
                </a:r>
              </a:p>
            </c:rich>
          </c:tx>
          <c:layout>
            <c:manualLayout>
              <c:xMode val="edge"/>
              <c:yMode val="edge"/>
              <c:x val="3.3613445378151302E-3"/>
              <c:y val="0.408352668213458"/>
            </c:manualLayout>
          </c:layout>
          <c:overlay val="0"/>
          <c:spPr>
            <a:noFill/>
            <a:ln w="25415">
              <a:noFill/>
            </a:ln>
          </c:spPr>
        </c:title>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CE"/>
                <a:ea typeface="Times New Roman CE"/>
                <a:cs typeface="Times New Roman CE"/>
              </a:defRPr>
            </a:pPr>
            <a:endParaRPr lang="cs-CZ"/>
          </a:p>
        </c:txPr>
        <c:crossAx val="36394880"/>
        <c:crosses val="autoZero"/>
        <c:crossBetween val="between"/>
        <c:majorUnit val="20"/>
      </c:valAx>
      <c:spPr>
        <a:noFill/>
        <a:ln w="25415">
          <a:noFill/>
        </a:ln>
      </c:spPr>
    </c:plotArea>
    <c:legend>
      <c:legendPos val="b"/>
      <c:layout>
        <c:manualLayout>
          <c:xMode val="edge"/>
          <c:yMode val="edge"/>
          <c:x val="9.2436974789915902E-2"/>
          <c:y val="0.92575406032482699"/>
          <c:w val="0.80504201680672305"/>
          <c:h val="6.4965197215777301E-2"/>
        </c:manualLayout>
      </c:layout>
      <c:overlay val="0"/>
      <c:spPr>
        <a:noFill/>
        <a:ln w="3177">
          <a:noFill/>
          <a:prstDash val="solid"/>
        </a:ln>
      </c:spPr>
      <c:txPr>
        <a:bodyPr/>
        <a:lstStyle/>
        <a:p>
          <a:pPr>
            <a:defRPr sz="1100" b="0" i="0" u="none" strike="noStrike" baseline="0">
              <a:solidFill>
                <a:srgbClr val="000000"/>
              </a:solidFill>
              <a:latin typeface="Times New Roman CE"/>
              <a:ea typeface="Times New Roman CE"/>
              <a:cs typeface="Times New Roman CE"/>
            </a:defRPr>
          </a:pPr>
          <a:endParaRPr lang="cs-CZ"/>
        </a:p>
      </c:txPr>
    </c:legend>
    <c:plotVisOnly val="1"/>
    <c:dispBlanksAs val="gap"/>
    <c:showDLblsOverMax val="0"/>
  </c:chart>
  <c:spPr>
    <a:noFill/>
    <a:ln>
      <a:noFill/>
    </a:ln>
  </c:spPr>
  <c:txPr>
    <a:bodyPr/>
    <a:lstStyle/>
    <a:p>
      <a:pPr>
        <a:defRPr sz="1201" b="0"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hPercent val="80"/>
      <c:rotY val="0"/>
      <c:rAngAx val="0"/>
      <c:perspective val="0"/>
    </c:view3D>
    <c:floor>
      <c:thickness val="0"/>
    </c:floor>
    <c:sideWall>
      <c:thickness val="0"/>
    </c:sideWall>
    <c:backWall>
      <c:thickness val="0"/>
    </c:backWall>
    <c:plotArea>
      <c:layout>
        <c:manualLayout>
          <c:layoutTarget val="inner"/>
          <c:xMode val="edge"/>
          <c:yMode val="edge"/>
          <c:x val="0.146757679180887"/>
          <c:y val="0.17153284671532901"/>
          <c:w val="0.69624573378839605"/>
          <c:h val="0.66788321167883302"/>
        </c:manualLayout>
      </c:layout>
      <c:pie3DChart>
        <c:varyColors val="1"/>
        <c:ser>
          <c:idx val="0"/>
          <c:order val="0"/>
          <c:tx>
            <c:strRef>
              <c:f>Sheet1!$B$1</c:f>
              <c:strCache>
                <c:ptCount val="1"/>
              </c:strCache>
            </c:strRef>
          </c:tx>
          <c:spPr>
            <a:solidFill>
              <a:srgbClr val="000080"/>
            </a:solidFill>
            <a:ln w="12697">
              <a:solidFill>
                <a:srgbClr val="000000"/>
              </a:solidFill>
              <a:prstDash val="solid"/>
            </a:ln>
          </c:spPr>
          <c:dPt>
            <c:idx val="0"/>
            <c:bubble3D val="0"/>
            <c:spPr>
              <a:solidFill>
                <a:srgbClr val="CC0099"/>
              </a:solidFill>
              <a:ln w="12697">
                <a:solidFill>
                  <a:srgbClr val="000000"/>
                </a:solidFill>
                <a:prstDash val="solid"/>
              </a:ln>
            </c:spPr>
          </c:dPt>
          <c:dPt>
            <c:idx val="1"/>
            <c:bubble3D val="0"/>
            <c:spPr>
              <a:solidFill>
                <a:srgbClr val="CC99FF"/>
              </a:solidFill>
              <a:ln w="12697">
                <a:solidFill>
                  <a:srgbClr val="000000"/>
                </a:solidFill>
                <a:prstDash val="solid"/>
              </a:ln>
            </c:spPr>
          </c:dPt>
          <c:dPt>
            <c:idx val="2"/>
            <c:bubble3D val="0"/>
            <c:spPr>
              <a:solidFill>
                <a:srgbClr val="33CC33"/>
              </a:solidFill>
              <a:ln w="12697">
                <a:solidFill>
                  <a:srgbClr val="000000"/>
                </a:solidFill>
                <a:prstDash val="solid"/>
              </a:ln>
            </c:spPr>
          </c:dPt>
          <c:dPt>
            <c:idx val="3"/>
            <c:bubble3D val="0"/>
            <c:spPr>
              <a:solidFill>
                <a:srgbClr val="006600"/>
              </a:solidFill>
              <a:ln w="12697">
                <a:solidFill>
                  <a:srgbClr val="000000"/>
                </a:solidFill>
                <a:prstDash val="solid"/>
              </a:ln>
            </c:spPr>
          </c:dPt>
          <c:dLbls>
            <c:dLbl>
              <c:idx val="0"/>
              <c:layout>
                <c:manualLayout>
                  <c:x val="-9.6430820128837497E-2"/>
                  <c:y val="-0.2049035789194610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7.4368746258915902E-2"/>
                  <c:y val="1.71052792113515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9.7039694102369605E-3"/>
                  <c:y val="-6.48796075391002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7.7333084910965105E-2"/>
                  <c:y val="-2.315605082707309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Mode val="edge"/>
                  <c:yMode val="edge"/>
                  <c:x val="0.23890784982935201"/>
                  <c:y val="0.13138686131386901"/>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395">
                <a:noFill/>
              </a:ln>
            </c:spPr>
            <c:txPr>
              <a:bodyPr/>
              <a:lstStyle/>
              <a:p>
                <a:pPr>
                  <a:defRPr sz="1200" b="1" i="0" u="none" strike="noStrike" baseline="0">
                    <a:solidFill>
                      <a:srgbClr val="000000"/>
                    </a:solidFill>
                    <a:latin typeface="Times New Roman CE"/>
                    <a:ea typeface="Times New Roman CE"/>
                    <a:cs typeface="Times New Roman CE"/>
                  </a:defRPr>
                </a:pPr>
                <a:endParaRPr lang="cs-CZ"/>
              </a:p>
            </c:txPr>
            <c:showLegendKey val="0"/>
            <c:showVal val="0"/>
            <c:showCatName val="1"/>
            <c:showSerName val="0"/>
            <c:showPercent val="1"/>
            <c:showBubbleSize val="0"/>
            <c:showLeaderLines val="0"/>
            <c:extLst>
              <c:ext xmlns:c15="http://schemas.microsoft.com/office/drawing/2012/chart" uri="{CE6537A1-D6FC-4f65-9D91-7224C49458BB}"/>
            </c:extLst>
          </c:dLbls>
          <c:cat>
            <c:strRef>
              <c:f>Sheet1!$A$2:$A$5</c:f>
              <c:strCache>
                <c:ptCount val="4"/>
                <c:pt idx="0">
                  <c:v>Určitě ano</c:v>
                </c:pt>
                <c:pt idx="1">
                  <c:v>Spíše ano</c:v>
                </c:pt>
                <c:pt idx="2">
                  <c:v>Spíše ne</c:v>
                </c:pt>
                <c:pt idx="3">
                  <c:v>Určitě ne</c:v>
                </c:pt>
              </c:strCache>
            </c:strRef>
          </c:cat>
          <c:val>
            <c:numRef>
              <c:f>Sheet1!$B$2:$B$5</c:f>
              <c:numCache>
                <c:formatCode>General</c:formatCode>
                <c:ptCount val="4"/>
                <c:pt idx="0">
                  <c:v>43</c:v>
                </c:pt>
                <c:pt idx="1">
                  <c:v>29</c:v>
                </c:pt>
                <c:pt idx="2">
                  <c:v>19</c:v>
                </c:pt>
                <c:pt idx="3">
                  <c:v>9</c:v>
                </c:pt>
              </c:numCache>
            </c:numRef>
          </c:val>
        </c:ser>
        <c:dLbls>
          <c:showLegendKey val="0"/>
          <c:showVal val="0"/>
          <c:showCatName val="1"/>
          <c:showSerName val="0"/>
          <c:showPercent val="1"/>
          <c:showBubbleSize val="0"/>
          <c:showLeaderLines val="0"/>
        </c:dLbls>
      </c:pie3DChart>
      <c:spPr>
        <a:noFill/>
        <a:ln w="25395">
          <a:noFill/>
        </a:ln>
      </c:spPr>
    </c:plotArea>
    <c:plotVisOnly val="1"/>
    <c:dispBlanksAs val="zero"/>
    <c:showDLblsOverMax val="0"/>
  </c:chart>
  <c:spPr>
    <a:noFill/>
    <a:ln>
      <a:noFill/>
    </a:ln>
  </c:spPr>
  <c:txPr>
    <a:bodyPr/>
    <a:lstStyle/>
    <a:p>
      <a:pPr>
        <a:defRPr sz="1100" b="1" i="0" u="none" strike="noStrike" baseline="0">
          <a:solidFill>
            <a:srgbClr val="000000"/>
          </a:solidFill>
          <a:latin typeface="Times New Roman CE"/>
          <a:ea typeface="Times New Roman CE"/>
          <a:cs typeface="Times New Roman CE"/>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5BD20-AC4E-4962-9104-11F948D2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511</Words>
  <Characters>2969</Characters>
  <Application>Microsoft Office Word</Application>
  <DocSecurity>4</DocSecurity>
  <Lines>24</Lines>
  <Paragraphs>6</Paragraphs>
  <ScaleCrop>false</ScaleCrop>
  <HeadingPairs>
    <vt:vector size="2" baseType="variant">
      <vt:variant>
        <vt:lpstr>Název</vt:lpstr>
      </vt:variant>
      <vt:variant>
        <vt:i4>1</vt:i4>
      </vt:variant>
    </vt:vector>
  </HeadingPairs>
  <TitlesOfParts>
    <vt:vector size="1" baseType="lpstr">
      <vt:lpstr>VEŘEJNOST JE PŘÍZNIVĚ NAKLONĚNA</vt:lpstr>
    </vt:vector>
  </TitlesOfParts>
  <Company>Acer</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VEŘEJNOST JE PŘÍZNIVĚ NAKLONĚNA</dc:title>
  <dc:creator>Valued Acer Customer</dc:creator>
  <cp:lastModifiedBy>Štěpanyová Gabriela Ing.</cp:lastModifiedBy>
  <cp:revision>2</cp:revision>
  <cp:lastPrinted>2016-05-23T19:25:00Z</cp:lastPrinted>
  <dcterms:created xsi:type="dcterms:W3CDTF">2016-05-23T19:45:00Z</dcterms:created>
  <dcterms:modified xsi:type="dcterms:W3CDTF">2016-05-23T19:45:00Z</dcterms:modified>
</cp:coreProperties>
</file>