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E74AC4">
        <w:rPr>
          <w:rFonts w:ascii="Arial" w:hAnsi="Arial" w:cs="Arial"/>
          <w:b/>
          <w:sz w:val="22"/>
          <w:szCs w:val="22"/>
          <w:u w:val="single"/>
        </w:rPr>
        <w:t>38</w:t>
      </w:r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21606E" w:rsidRPr="005C5BA4" w:rsidRDefault="000343F3" w:rsidP="0021606E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="00565E50" w:rsidRPr="00565E50">
        <w:rPr>
          <w:rFonts w:ascii="Arial" w:hAnsi="Arial" w:cs="Arial"/>
          <w:sz w:val="22"/>
          <w:szCs w:val="22"/>
        </w:rPr>
        <w:t xml:space="preserve">poskytnutí informace </w:t>
      </w:r>
      <w:r w:rsidR="00E74AC4" w:rsidRPr="000B6B8C">
        <w:rPr>
          <w:rFonts w:ascii="Arial" w:hAnsi="Arial" w:cs="Arial"/>
          <w:sz w:val="22"/>
          <w:szCs w:val="22"/>
        </w:rPr>
        <w:t>vztahující se k nadměrným odpočtům a zajištění daně u registrovaného plátce DPH</w:t>
      </w:r>
      <w:r w:rsidR="00565E50">
        <w:rPr>
          <w:rFonts w:ascii="Arial" w:hAnsi="Arial" w:cs="Arial"/>
          <w:sz w:val="22"/>
          <w:szCs w:val="22"/>
        </w:rPr>
        <w:t>.</w:t>
      </w:r>
    </w:p>
    <w:p w:rsidR="008F690C" w:rsidRPr="00F56B1A" w:rsidRDefault="008F690C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E74AC4" w:rsidRPr="000B6B8C" w:rsidRDefault="00E74AC4" w:rsidP="00E74AC4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0B6B8C">
        <w:rPr>
          <w:rFonts w:ascii="Arial" w:hAnsi="Arial" w:cs="Arial"/>
          <w:sz w:val="22"/>
          <w:szCs w:val="22"/>
        </w:rPr>
        <w:t xml:space="preserve">Ad 1) Kolik nadměrných odpočtů FS ČR eviduje? </w:t>
      </w:r>
    </w:p>
    <w:p w:rsidR="00E74AC4" w:rsidRDefault="00E74AC4" w:rsidP="00E74AC4">
      <w:pPr>
        <w:pStyle w:val="Default"/>
        <w:spacing w:after="3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rok 2019 bylo</w:t>
      </w:r>
      <w:r w:rsidRPr="000B6B8C">
        <w:rPr>
          <w:rFonts w:ascii="Arial" w:hAnsi="Arial" w:cs="Arial"/>
          <w:sz w:val="22"/>
          <w:szCs w:val="22"/>
        </w:rPr>
        <w:t xml:space="preserve"> evidováno 1,25 milionů </w:t>
      </w:r>
      <w:r>
        <w:rPr>
          <w:rFonts w:ascii="Arial" w:hAnsi="Arial" w:cs="Arial"/>
          <w:sz w:val="22"/>
          <w:szCs w:val="22"/>
        </w:rPr>
        <w:t xml:space="preserve">vyměřených </w:t>
      </w:r>
      <w:r w:rsidRPr="000B6B8C">
        <w:rPr>
          <w:rFonts w:ascii="Arial" w:hAnsi="Arial" w:cs="Arial"/>
          <w:sz w:val="22"/>
          <w:szCs w:val="22"/>
        </w:rPr>
        <w:t>nadměrných odpočtů.</w:t>
      </w:r>
    </w:p>
    <w:p w:rsidR="00E74AC4" w:rsidRPr="000B6B8C" w:rsidRDefault="00E74AC4" w:rsidP="00E74AC4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0B6B8C">
        <w:rPr>
          <w:rFonts w:ascii="Arial" w:hAnsi="Arial" w:cs="Arial"/>
          <w:sz w:val="22"/>
          <w:szCs w:val="22"/>
        </w:rPr>
        <w:t>Ad 2</w:t>
      </w:r>
      <w:r>
        <w:rPr>
          <w:rFonts w:ascii="Arial" w:hAnsi="Arial" w:cs="Arial"/>
          <w:sz w:val="22"/>
          <w:szCs w:val="22"/>
        </w:rPr>
        <w:t>) a 3</w:t>
      </w:r>
      <w:r w:rsidRPr="000B6B8C">
        <w:rPr>
          <w:rFonts w:ascii="Arial" w:hAnsi="Arial" w:cs="Arial"/>
          <w:sz w:val="22"/>
          <w:szCs w:val="22"/>
        </w:rPr>
        <w:t xml:space="preserve">) Kolikrát bylo použito zajištění daně? </w:t>
      </w:r>
    </w:p>
    <w:p w:rsidR="00E74AC4" w:rsidRDefault="00E74AC4" w:rsidP="00E74AC4">
      <w:pPr>
        <w:pStyle w:val="Default"/>
        <w:spacing w:after="24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A17BC">
        <w:rPr>
          <w:rFonts w:ascii="Arial" w:hAnsi="Arial" w:cs="Arial"/>
          <w:sz w:val="22"/>
          <w:szCs w:val="22"/>
        </w:rPr>
        <w:t>Předně je nutno konstatovat, že v rámci řízení o zajištění daně, jakožto dílčího řízení při správě daní, lze uplatnit vícero zajišťovací</w:t>
      </w:r>
      <w:r>
        <w:rPr>
          <w:rFonts w:ascii="Arial" w:hAnsi="Arial" w:cs="Arial"/>
          <w:sz w:val="22"/>
          <w:szCs w:val="22"/>
        </w:rPr>
        <w:t>ch</w:t>
      </w:r>
      <w:r w:rsidRPr="001A17BC">
        <w:rPr>
          <w:rFonts w:ascii="Arial" w:hAnsi="Arial" w:cs="Arial"/>
          <w:sz w:val="22"/>
          <w:szCs w:val="22"/>
        </w:rPr>
        <w:t xml:space="preserve"> prostředků – např. zajišťovací příkaz, zástavní právo, zajištění daně ručením nebo finanční zárukou. </w:t>
      </w:r>
    </w:p>
    <w:p w:rsidR="00E74AC4" w:rsidRDefault="00E74AC4" w:rsidP="00E74AC4">
      <w:pPr>
        <w:pStyle w:val="Default"/>
        <w:spacing w:after="240"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A17BC">
        <w:rPr>
          <w:rFonts w:ascii="Arial" w:hAnsi="Arial" w:cs="Arial"/>
          <w:sz w:val="22"/>
          <w:szCs w:val="22"/>
        </w:rPr>
        <w:t xml:space="preserve"> dotazu není zcela zřejmé, kterého právního institutu se týká. Nicméně požadované početní vyjádření </w:t>
      </w:r>
      <w:r>
        <w:rPr>
          <w:rFonts w:ascii="Arial" w:hAnsi="Arial" w:cs="Arial"/>
          <w:sz w:val="22"/>
          <w:szCs w:val="22"/>
        </w:rPr>
        <w:t xml:space="preserve">je </w:t>
      </w:r>
      <w:r w:rsidRPr="001A17BC">
        <w:rPr>
          <w:rFonts w:ascii="Arial" w:hAnsi="Arial" w:cs="Arial"/>
          <w:sz w:val="22"/>
          <w:szCs w:val="22"/>
        </w:rPr>
        <w:t>Generální</w:t>
      </w:r>
      <w:r>
        <w:rPr>
          <w:rFonts w:ascii="Arial" w:hAnsi="Arial" w:cs="Arial"/>
          <w:sz w:val="22"/>
          <w:szCs w:val="22"/>
        </w:rPr>
        <w:t>m</w:t>
      </w:r>
      <w:r w:rsidRPr="001A17BC">
        <w:rPr>
          <w:rFonts w:ascii="Arial" w:hAnsi="Arial" w:cs="Arial"/>
          <w:sz w:val="22"/>
          <w:szCs w:val="22"/>
        </w:rPr>
        <w:t xml:space="preserve"> finanční</w:t>
      </w:r>
      <w:r>
        <w:rPr>
          <w:rFonts w:ascii="Arial" w:hAnsi="Arial" w:cs="Arial"/>
          <w:sz w:val="22"/>
          <w:szCs w:val="22"/>
        </w:rPr>
        <w:t>m</w:t>
      </w:r>
      <w:r w:rsidRPr="001A17BC">
        <w:rPr>
          <w:rFonts w:ascii="Arial" w:hAnsi="Arial" w:cs="Arial"/>
          <w:sz w:val="22"/>
          <w:szCs w:val="22"/>
        </w:rPr>
        <w:t xml:space="preserve"> ředitelství</w:t>
      </w:r>
      <w:r>
        <w:rPr>
          <w:rFonts w:ascii="Arial" w:hAnsi="Arial" w:cs="Arial"/>
          <w:sz w:val="22"/>
          <w:szCs w:val="22"/>
        </w:rPr>
        <w:t>m</w:t>
      </w:r>
      <w:r w:rsidRPr="001A1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evidováno</w:t>
      </w:r>
      <w:r w:rsidRPr="001A17BC">
        <w:rPr>
          <w:rFonts w:ascii="Arial" w:hAnsi="Arial" w:cs="Arial"/>
          <w:sz w:val="22"/>
          <w:szCs w:val="22"/>
        </w:rPr>
        <w:t xml:space="preserve"> zejména ve vztahu k</w:t>
      </w:r>
      <w:r>
        <w:rPr>
          <w:rFonts w:ascii="Arial" w:hAnsi="Arial" w:cs="Arial"/>
          <w:sz w:val="22"/>
          <w:szCs w:val="22"/>
        </w:rPr>
        <w:t xml:space="preserve"> aplikaci </w:t>
      </w:r>
      <w:r w:rsidRPr="001A17BC">
        <w:rPr>
          <w:rFonts w:ascii="Arial" w:hAnsi="Arial" w:cs="Arial"/>
          <w:sz w:val="22"/>
          <w:szCs w:val="22"/>
        </w:rPr>
        <w:t>zajišťovací</w:t>
      </w:r>
      <w:r>
        <w:rPr>
          <w:rFonts w:ascii="Arial" w:hAnsi="Arial" w:cs="Arial"/>
          <w:sz w:val="22"/>
          <w:szCs w:val="22"/>
        </w:rPr>
        <w:t>ho</w:t>
      </w:r>
      <w:r w:rsidRPr="001A17BC">
        <w:rPr>
          <w:rFonts w:ascii="Arial" w:hAnsi="Arial" w:cs="Arial"/>
          <w:sz w:val="22"/>
          <w:szCs w:val="22"/>
        </w:rPr>
        <w:t xml:space="preserve"> příkazu</w:t>
      </w:r>
      <w:r>
        <w:rPr>
          <w:rFonts w:ascii="Arial" w:hAnsi="Arial" w:cs="Arial"/>
          <w:sz w:val="22"/>
          <w:szCs w:val="22"/>
        </w:rPr>
        <w:t xml:space="preserve"> dle § 167 daňového řádu. V této souvislosti je namístě podotknout, že předmětný instrument není u registrovaného plátce DPH používán výhradně k zajištění dosud nestanovené či nesplatné daně z přidané hodnoty, neboť tyto subjekty jsou zpravidla registrovány i k jiným druhům daní, jejichž výběr může být potenciálně ohrožen.   </w:t>
      </w:r>
      <w:r w:rsidRPr="001A17BC">
        <w:rPr>
          <w:rFonts w:ascii="Arial" w:hAnsi="Arial" w:cs="Arial"/>
          <w:sz w:val="22"/>
          <w:szCs w:val="22"/>
        </w:rPr>
        <w:t xml:space="preserve">   </w:t>
      </w:r>
    </w:p>
    <w:p w:rsidR="00E74AC4" w:rsidRPr="001A17BC" w:rsidRDefault="00E74AC4" w:rsidP="00E74AC4">
      <w:pPr>
        <w:pStyle w:val="Default"/>
        <w:spacing w:after="3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Souhrnné </w:t>
      </w:r>
      <w:r w:rsidRPr="00B27362">
        <w:rPr>
          <w:rFonts w:ascii="Arial" w:hAnsi="Arial" w:cs="Arial"/>
          <w:sz w:val="22"/>
          <w:szCs w:val="22"/>
        </w:rPr>
        <w:t>údaje</w:t>
      </w:r>
      <w:r>
        <w:rPr>
          <w:rFonts w:ascii="Arial" w:hAnsi="Arial" w:cs="Arial"/>
          <w:sz w:val="22"/>
          <w:szCs w:val="22"/>
        </w:rPr>
        <w:t xml:space="preserve"> (vč. požadovaného roku 2019)</w:t>
      </w:r>
      <w:r w:rsidRPr="00B27362">
        <w:rPr>
          <w:rFonts w:ascii="Arial" w:hAnsi="Arial" w:cs="Arial"/>
          <w:sz w:val="22"/>
          <w:szCs w:val="22"/>
        </w:rPr>
        <w:t xml:space="preserve"> týkající se uplatňování zajišťovacích příkazů</w:t>
      </w:r>
      <w:r>
        <w:rPr>
          <w:rFonts w:ascii="Arial" w:hAnsi="Arial" w:cs="Arial"/>
          <w:sz w:val="22"/>
          <w:szCs w:val="22"/>
        </w:rPr>
        <w:t xml:space="preserve"> při správě daní a s</w:t>
      </w:r>
      <w:r w:rsidRPr="00B27362">
        <w:rPr>
          <w:rFonts w:ascii="Arial" w:hAnsi="Arial" w:cs="Arial"/>
          <w:sz w:val="22"/>
          <w:szCs w:val="22"/>
        </w:rPr>
        <w:t xml:space="preserve">tatistiky řízení ve správním soudnictví, jejichž předmětem přezkumu jsou </w:t>
      </w:r>
      <w:r>
        <w:rPr>
          <w:rFonts w:ascii="Arial" w:hAnsi="Arial" w:cs="Arial"/>
          <w:sz w:val="22"/>
          <w:szCs w:val="22"/>
        </w:rPr>
        <w:t xml:space="preserve">zajišťovací příkazy, lze nalézt na webových stránkách Finanční správy ČR </w:t>
      </w:r>
      <w:r w:rsidRPr="001A17BC">
        <w:rPr>
          <w:rFonts w:ascii="Arial" w:hAnsi="Arial" w:cs="Arial"/>
          <w:sz w:val="22"/>
          <w:szCs w:val="22"/>
          <w:lang w:val="en-US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Pr="002358E3">
          <w:rPr>
            <w:rStyle w:val="Hypertextovodkaz"/>
            <w:rFonts w:ascii="Arial" w:hAnsi="Arial" w:cs="Arial"/>
            <w:sz w:val="22"/>
            <w:szCs w:val="22"/>
          </w:rPr>
          <w:t>https://www.financnisprava.cz/cs/financni-sprava/media-a-verejnost/zajistovaci-prikazy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E74AC4" w:rsidRPr="000B6B8C" w:rsidRDefault="00E74AC4" w:rsidP="00E74AC4">
      <w:pPr>
        <w:pStyle w:val="Default"/>
        <w:spacing w:after="100" w:afterAutospacing="1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4) Průměrná délka místního šetření a daňových kontrol není</w:t>
      </w:r>
      <w:r w:rsidRPr="000B6B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Generálním finančním ředitelstvím sledována. </w:t>
      </w:r>
    </w:p>
    <w:p w:rsidR="00E74AC4" w:rsidRPr="0021606E" w:rsidRDefault="00E74AC4" w:rsidP="00E74AC4">
      <w:pPr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E74AC4" w:rsidRPr="0021606E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12699"/>
    <w:rsid w:val="0021606E"/>
    <w:rsid w:val="0022140B"/>
    <w:rsid w:val="002C52DE"/>
    <w:rsid w:val="002D0BC7"/>
    <w:rsid w:val="002E3651"/>
    <w:rsid w:val="00303237"/>
    <w:rsid w:val="003839FA"/>
    <w:rsid w:val="00434316"/>
    <w:rsid w:val="00565E50"/>
    <w:rsid w:val="008700F4"/>
    <w:rsid w:val="008F690C"/>
    <w:rsid w:val="00A70D63"/>
    <w:rsid w:val="00C224F4"/>
    <w:rsid w:val="00D07F01"/>
    <w:rsid w:val="00E74AC4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36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nhideWhenUsed/>
    <w:rsid w:val="00E74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ancnisprava.cz/cs/financni-sprava/media-a-verejnost/zajistovaci-prikaz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2020-07-16T11:37:00Z</dcterms:created>
  <dcterms:modified xsi:type="dcterms:W3CDTF">2020-07-16T11:37:00Z</dcterms:modified>
</cp:coreProperties>
</file>