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90C" w:rsidRPr="00F56B1A" w:rsidRDefault="008F690C" w:rsidP="008F690C">
      <w:pPr>
        <w:spacing w:after="100" w:afterAutospacing="1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56B1A">
        <w:rPr>
          <w:rFonts w:ascii="Arial" w:hAnsi="Arial" w:cs="Arial"/>
          <w:b/>
          <w:sz w:val="22"/>
          <w:szCs w:val="22"/>
          <w:u w:val="single"/>
        </w:rPr>
        <w:t>Poskytnutá informace GFŘ podle zákona o s</w:t>
      </w:r>
      <w:r w:rsidR="00303237">
        <w:rPr>
          <w:rFonts w:ascii="Arial" w:hAnsi="Arial" w:cs="Arial"/>
          <w:b/>
          <w:sz w:val="22"/>
          <w:szCs w:val="22"/>
          <w:u w:val="single"/>
        </w:rPr>
        <w:t>v</w:t>
      </w:r>
      <w:r w:rsidR="0022140B">
        <w:rPr>
          <w:rFonts w:ascii="Arial" w:hAnsi="Arial" w:cs="Arial"/>
          <w:b/>
          <w:sz w:val="22"/>
          <w:szCs w:val="22"/>
          <w:u w:val="single"/>
        </w:rPr>
        <w:t xml:space="preserve">obodném přístupu k informacím </w:t>
      </w:r>
      <w:r w:rsidR="0021606E">
        <w:rPr>
          <w:rFonts w:ascii="Arial" w:hAnsi="Arial" w:cs="Arial"/>
          <w:b/>
          <w:sz w:val="22"/>
          <w:szCs w:val="22"/>
          <w:u w:val="single"/>
        </w:rPr>
        <w:t>35</w:t>
      </w:r>
      <w:r w:rsidR="000343F3">
        <w:rPr>
          <w:rFonts w:ascii="Arial" w:hAnsi="Arial" w:cs="Arial"/>
          <w:b/>
          <w:sz w:val="22"/>
          <w:szCs w:val="22"/>
          <w:u w:val="single"/>
        </w:rPr>
        <w:t>/2020</w:t>
      </w:r>
    </w:p>
    <w:p w:rsidR="008F690C" w:rsidRPr="00F56B1A" w:rsidRDefault="008F690C" w:rsidP="008F690C">
      <w:pPr>
        <w:spacing w:after="100" w:afterAutospacing="1"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56B1A">
        <w:rPr>
          <w:rFonts w:ascii="Arial" w:hAnsi="Arial" w:cs="Arial"/>
          <w:b/>
          <w:sz w:val="22"/>
          <w:szCs w:val="22"/>
          <w:u w:val="single"/>
        </w:rPr>
        <w:t xml:space="preserve">Dotaz: </w:t>
      </w:r>
    </w:p>
    <w:p w:rsidR="0021606E" w:rsidRPr="005C5BA4" w:rsidRDefault="000343F3" w:rsidP="0021606E">
      <w:pPr>
        <w:pStyle w:val="Default"/>
        <w:spacing w:after="100" w:afterAutospacing="1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žádosti bylo pož</w:t>
      </w:r>
      <w:r w:rsidR="0022140B" w:rsidRPr="001A7A98">
        <w:rPr>
          <w:rFonts w:ascii="Arial" w:hAnsi="Arial" w:cs="Arial"/>
          <w:sz w:val="22"/>
          <w:szCs w:val="22"/>
        </w:rPr>
        <w:t>á</w:t>
      </w:r>
      <w:r>
        <w:rPr>
          <w:rFonts w:ascii="Arial" w:hAnsi="Arial" w:cs="Arial"/>
          <w:sz w:val="22"/>
          <w:szCs w:val="22"/>
        </w:rPr>
        <w:t>dá</w:t>
      </w:r>
      <w:r w:rsidR="0022140B" w:rsidRPr="001A7A98">
        <w:rPr>
          <w:rFonts w:ascii="Arial" w:hAnsi="Arial" w:cs="Arial"/>
          <w:sz w:val="22"/>
          <w:szCs w:val="22"/>
        </w:rPr>
        <w:t xml:space="preserve">no </w:t>
      </w:r>
      <w:r w:rsidR="00D07F01" w:rsidRPr="000B5ABB">
        <w:rPr>
          <w:rFonts w:ascii="Arial" w:hAnsi="Arial" w:cs="Arial"/>
          <w:sz w:val="22"/>
          <w:szCs w:val="22"/>
        </w:rPr>
        <w:t>o</w:t>
      </w:r>
      <w:r w:rsidR="00D07F01">
        <w:rPr>
          <w:rFonts w:ascii="Arial" w:hAnsi="Arial" w:cs="Arial"/>
          <w:sz w:val="22"/>
          <w:szCs w:val="22"/>
        </w:rPr>
        <w:t> </w:t>
      </w:r>
      <w:r w:rsidR="0021606E">
        <w:rPr>
          <w:rFonts w:ascii="Arial" w:hAnsi="Arial" w:cs="Arial"/>
          <w:sz w:val="22"/>
          <w:szCs w:val="22"/>
        </w:rPr>
        <w:t>poskytnutí údajů týkajících se evidence a způsobu vymáhání nedoplatků na DPH.</w:t>
      </w:r>
    </w:p>
    <w:p w:rsidR="008F690C" w:rsidRPr="00F56B1A" w:rsidRDefault="008F690C" w:rsidP="00A70D63">
      <w:pPr>
        <w:pStyle w:val="Default"/>
        <w:spacing w:after="100" w:afterAutospacing="1"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56B1A">
        <w:rPr>
          <w:rFonts w:ascii="Arial" w:hAnsi="Arial" w:cs="Arial"/>
          <w:b/>
          <w:sz w:val="22"/>
          <w:szCs w:val="22"/>
          <w:u w:val="single"/>
        </w:rPr>
        <w:t xml:space="preserve">Odpověď: </w:t>
      </w:r>
    </w:p>
    <w:p w:rsidR="0021606E" w:rsidRPr="0021606E" w:rsidRDefault="0021606E" w:rsidP="0021606E">
      <w:pPr>
        <w:spacing w:after="200" w:line="276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21606E">
        <w:rPr>
          <w:rFonts w:ascii="Arial" w:eastAsia="Calibri" w:hAnsi="Arial" w:cs="Arial"/>
          <w:color w:val="000000"/>
          <w:sz w:val="22"/>
          <w:szCs w:val="22"/>
        </w:rPr>
        <w:t xml:space="preserve">K uvedenému lze sdělit, že není evidováno, v důsledku které daňově relevantní skutečnosti nedoplatky na DPH vznikly. Konkrétní skutečnosti jsou </w:t>
      </w:r>
      <w:proofErr w:type="spellStart"/>
      <w:r w:rsidRPr="0021606E">
        <w:rPr>
          <w:rFonts w:ascii="Arial" w:eastAsia="Calibri" w:hAnsi="Arial" w:cs="Arial"/>
          <w:color w:val="000000"/>
          <w:sz w:val="22"/>
          <w:szCs w:val="22"/>
        </w:rPr>
        <w:t>seznatelné</w:t>
      </w:r>
      <w:proofErr w:type="spellEnd"/>
      <w:r w:rsidRPr="0021606E">
        <w:rPr>
          <w:rFonts w:ascii="Arial" w:eastAsia="Calibri" w:hAnsi="Arial" w:cs="Arial"/>
          <w:color w:val="000000"/>
          <w:sz w:val="22"/>
          <w:szCs w:val="22"/>
        </w:rPr>
        <w:t xml:space="preserve"> výhradně ze spisů týkajících se jednotlivých daňových řízení, k jejichž vedení není Generální finanční ředitelství příslušné. </w:t>
      </w:r>
    </w:p>
    <w:p w:rsidR="00EA08DA" w:rsidRPr="0021606E" w:rsidRDefault="0021606E" w:rsidP="0021606E">
      <w:pPr>
        <w:spacing w:after="200" w:line="276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21606E">
        <w:rPr>
          <w:rFonts w:ascii="Arial" w:eastAsia="Calibri" w:hAnsi="Arial" w:cs="Arial"/>
          <w:color w:val="000000"/>
          <w:sz w:val="22"/>
          <w:szCs w:val="22"/>
        </w:rPr>
        <w:t>K Vašemu dotazu ohledně způsobu vymáhání daňových nedoplatků je nutno konstatovat, že orgány Finanční správy ČR při správě daní postupují dle platné právní úpravy, v tomto případě dle § 175 daňového řádu. Metodické materiály týkající se dané oblasti jsou dostupné na internetových stránkách Generálního finančního ředitelství (ht</w:t>
      </w:r>
      <w:r>
        <w:rPr>
          <w:rFonts w:ascii="Arial" w:eastAsia="Calibri" w:hAnsi="Arial" w:cs="Arial"/>
          <w:color w:val="000000"/>
          <w:sz w:val="22"/>
          <w:szCs w:val="22"/>
        </w:rPr>
        <w:t>tps://www.financnisprava.cz/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</w:rPr>
        <w:t>cs</w:t>
      </w:r>
      <w:proofErr w:type="spellEnd"/>
      <w:r>
        <w:rPr>
          <w:rFonts w:ascii="Arial" w:eastAsia="Calibri" w:hAnsi="Arial" w:cs="Arial"/>
          <w:color w:val="000000"/>
          <w:sz w:val="22"/>
          <w:szCs w:val="22"/>
        </w:rPr>
        <w:t>/</w:t>
      </w:r>
      <w:r w:rsidRPr="0021606E">
        <w:rPr>
          <w:rFonts w:ascii="Arial" w:eastAsia="Calibri" w:hAnsi="Arial" w:cs="Arial"/>
          <w:color w:val="000000"/>
          <w:sz w:val="22"/>
          <w:szCs w:val="22"/>
        </w:rPr>
        <w:t>dane/</w:t>
      </w:r>
      <w:proofErr w:type="spellStart"/>
      <w:r w:rsidRPr="0021606E">
        <w:rPr>
          <w:rFonts w:ascii="Arial" w:eastAsia="Calibri" w:hAnsi="Arial" w:cs="Arial"/>
          <w:color w:val="000000"/>
          <w:sz w:val="22"/>
          <w:szCs w:val="22"/>
        </w:rPr>
        <w:t>vymahani</w:t>
      </w:r>
      <w:proofErr w:type="spellEnd"/>
      <w:r w:rsidRPr="0021606E">
        <w:rPr>
          <w:rFonts w:ascii="Arial" w:eastAsia="Calibri" w:hAnsi="Arial" w:cs="Arial"/>
          <w:color w:val="000000"/>
          <w:sz w:val="22"/>
          <w:szCs w:val="22"/>
        </w:rPr>
        <w:t xml:space="preserve">-dani).  </w:t>
      </w:r>
      <w:bookmarkStart w:id="0" w:name="_GoBack"/>
      <w:bookmarkEnd w:id="0"/>
    </w:p>
    <w:sectPr w:rsidR="00EA08DA" w:rsidRPr="0021606E" w:rsidSect="00F53DE3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90C"/>
    <w:rsid w:val="000343F3"/>
    <w:rsid w:val="00212699"/>
    <w:rsid w:val="0021606E"/>
    <w:rsid w:val="0022140B"/>
    <w:rsid w:val="002C52DE"/>
    <w:rsid w:val="002D0BC7"/>
    <w:rsid w:val="002E3651"/>
    <w:rsid w:val="00303237"/>
    <w:rsid w:val="003839FA"/>
    <w:rsid w:val="00434316"/>
    <w:rsid w:val="008700F4"/>
    <w:rsid w:val="008F690C"/>
    <w:rsid w:val="00A70D63"/>
    <w:rsid w:val="00C224F4"/>
    <w:rsid w:val="00D07F01"/>
    <w:rsid w:val="00EA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B0AF2B-CAB5-41B8-9099-AF4F24EB5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F6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E3651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Finanční správa</Company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Bloudková Kateřina Mgr. (GFŘ)</dc:creator>
  <cp:keywords/>
  <dc:description/>
  <cp:lastModifiedBy>Kadlčíková Renáta Mgr. (GFŘ)</cp:lastModifiedBy>
  <cp:revision>2</cp:revision>
  <dcterms:created xsi:type="dcterms:W3CDTF">2020-06-29T14:00:00Z</dcterms:created>
  <dcterms:modified xsi:type="dcterms:W3CDTF">2020-06-29T14:00:00Z</dcterms:modified>
</cp:coreProperties>
</file>